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6F9D80" w14:textId="77777777" w:rsidR="00170EB1" w:rsidRDefault="00C6112C" w:rsidP="00CF75EC">
      <w:pPr>
        <w:rPr>
          <w:b/>
          <w:bCs/>
          <w:sz w:val="28"/>
          <w:szCs w:val="28"/>
        </w:rPr>
      </w:pPr>
      <w:r>
        <w:rPr>
          <w:b/>
          <w:bCs/>
          <w:sz w:val="28"/>
          <w:szCs w:val="28"/>
        </w:rPr>
        <w:t>Understanding Bonds</w:t>
      </w:r>
    </w:p>
    <w:p w14:paraId="35FA24F9" w14:textId="77777777" w:rsidR="008954C8" w:rsidRPr="004004C0" w:rsidRDefault="008954C8" w:rsidP="004004C0">
      <w:pPr>
        <w:spacing w:after="0" w:line="240" w:lineRule="auto"/>
        <w:rPr>
          <w:bCs/>
          <w:sz w:val="24"/>
          <w:szCs w:val="24"/>
        </w:rPr>
      </w:pPr>
      <w:r w:rsidRPr="004004C0">
        <w:rPr>
          <w:b/>
          <w:bCs/>
          <w:sz w:val="24"/>
          <w:szCs w:val="24"/>
        </w:rPr>
        <w:t>No</w:t>
      </w:r>
      <w:r w:rsidR="00E91A7D" w:rsidRPr="004004C0">
        <w:rPr>
          <w:b/>
          <w:bCs/>
          <w:sz w:val="24"/>
          <w:szCs w:val="24"/>
        </w:rPr>
        <w:t>te:</w:t>
      </w:r>
      <w:r w:rsidR="00E91A7D" w:rsidRPr="004004C0">
        <w:rPr>
          <w:bCs/>
          <w:sz w:val="24"/>
          <w:szCs w:val="24"/>
        </w:rPr>
        <w:t xml:space="preserve">  the following reading is </w:t>
      </w:r>
      <w:r w:rsidRPr="004004C0">
        <w:rPr>
          <w:bCs/>
          <w:sz w:val="24"/>
          <w:szCs w:val="24"/>
        </w:rPr>
        <w:t>adapted from</w:t>
      </w:r>
      <w:r w:rsidR="00426C0B" w:rsidRPr="004004C0">
        <w:rPr>
          <w:bCs/>
          <w:sz w:val="24"/>
          <w:szCs w:val="24"/>
        </w:rPr>
        <w:t xml:space="preserve"> </w:t>
      </w:r>
      <w:r w:rsidR="00C6112C" w:rsidRPr="004004C0">
        <w:rPr>
          <w:bCs/>
          <w:sz w:val="24"/>
          <w:szCs w:val="24"/>
        </w:rPr>
        <w:t xml:space="preserve">a variety of sources including </w:t>
      </w:r>
      <w:r w:rsidR="00BD4260">
        <w:rPr>
          <w:bCs/>
          <w:sz w:val="24"/>
          <w:szCs w:val="24"/>
        </w:rPr>
        <w:t xml:space="preserve">Bloomberg, U.S. Treasury sites and </w:t>
      </w:r>
      <w:hyperlink r:id="rId7" w:history="1">
        <w:r w:rsidR="00426C0B" w:rsidRPr="004004C0">
          <w:rPr>
            <w:rStyle w:val="Hyperlink"/>
            <w:bCs/>
            <w:sz w:val="24"/>
            <w:szCs w:val="24"/>
          </w:rPr>
          <w:t>http://www.investopedia.com/articles/bonds/07/price_yield.asp</w:t>
        </w:r>
      </w:hyperlink>
      <w:r w:rsidR="00426C0B" w:rsidRPr="004004C0">
        <w:rPr>
          <w:bCs/>
          <w:sz w:val="24"/>
          <w:szCs w:val="24"/>
        </w:rPr>
        <w:t xml:space="preserve">. </w:t>
      </w:r>
      <w:r w:rsidRPr="004004C0">
        <w:rPr>
          <w:bCs/>
          <w:sz w:val="24"/>
          <w:szCs w:val="24"/>
        </w:rPr>
        <w:t xml:space="preserve"> This reading specifically deals with long term coupon issues.  For U.S. Treasuries that would be debt with maturities of greater than one year.  Recall, Treasury Bills (maturities of one year and less) are zero coupon issues (i.e.</w:t>
      </w:r>
      <w:r w:rsidR="00426C0B" w:rsidRPr="004004C0">
        <w:rPr>
          <w:bCs/>
          <w:sz w:val="24"/>
          <w:szCs w:val="24"/>
        </w:rPr>
        <w:t>, they</w:t>
      </w:r>
      <w:r w:rsidRPr="004004C0">
        <w:rPr>
          <w:bCs/>
          <w:sz w:val="24"/>
          <w:szCs w:val="24"/>
        </w:rPr>
        <w:t xml:space="preserve"> sell at a discount of their par </w:t>
      </w:r>
      <w:r w:rsidR="00005125" w:rsidRPr="004004C0">
        <w:rPr>
          <w:bCs/>
          <w:sz w:val="24"/>
          <w:szCs w:val="24"/>
        </w:rPr>
        <w:t>value</w:t>
      </w:r>
      <w:r w:rsidRPr="004004C0">
        <w:rPr>
          <w:bCs/>
          <w:sz w:val="24"/>
          <w:szCs w:val="24"/>
        </w:rPr>
        <w:t>).</w:t>
      </w:r>
      <w:r w:rsidR="00C6112C" w:rsidRPr="004004C0">
        <w:rPr>
          <w:bCs/>
          <w:sz w:val="24"/>
          <w:szCs w:val="24"/>
        </w:rPr>
        <w:t xml:space="preserve">  U.S. Treasuries with maturities of over one year to ten years are commonly referred to as Treasury Notes and those ten years and over are referred to as Treasury Bonds.  Throughout this reading, the term Government Bonds will be used for all bonds with maturities over one year.</w:t>
      </w:r>
    </w:p>
    <w:p w14:paraId="58692665" w14:textId="77777777" w:rsidR="004004C0" w:rsidRDefault="004004C0" w:rsidP="00426C0B">
      <w:pPr>
        <w:spacing w:after="0" w:line="240" w:lineRule="auto"/>
        <w:rPr>
          <w:b/>
          <w:bCs/>
        </w:rPr>
      </w:pPr>
    </w:p>
    <w:p w14:paraId="54F2C489" w14:textId="77777777" w:rsidR="00E91A7D" w:rsidRPr="004004C0" w:rsidRDefault="00C6112C" w:rsidP="00426C0B">
      <w:pPr>
        <w:spacing w:after="0" w:line="240" w:lineRule="auto"/>
        <w:rPr>
          <w:sz w:val="24"/>
          <w:szCs w:val="24"/>
        </w:rPr>
      </w:pPr>
      <w:r w:rsidRPr="004004C0">
        <w:rPr>
          <w:b/>
          <w:bCs/>
          <w:sz w:val="24"/>
          <w:szCs w:val="24"/>
        </w:rPr>
        <w:t xml:space="preserve">U.S. Government </w:t>
      </w:r>
      <w:r w:rsidR="00CF75EC" w:rsidRPr="004004C0">
        <w:rPr>
          <w:b/>
          <w:bCs/>
          <w:sz w:val="24"/>
          <w:szCs w:val="24"/>
        </w:rPr>
        <w:t>Bond Quotes</w:t>
      </w:r>
      <w:r w:rsidR="00CF75EC" w:rsidRPr="004004C0">
        <w:rPr>
          <w:b/>
          <w:bCs/>
          <w:sz w:val="24"/>
          <w:szCs w:val="24"/>
        </w:rPr>
        <w:br/>
      </w:r>
    </w:p>
    <w:p w14:paraId="006A9F6E" w14:textId="77777777" w:rsidR="00CF75EC" w:rsidRPr="004004C0" w:rsidRDefault="00CF75EC" w:rsidP="004004C0">
      <w:pPr>
        <w:spacing w:after="0" w:line="240" w:lineRule="auto"/>
        <w:rPr>
          <w:sz w:val="24"/>
          <w:szCs w:val="24"/>
        </w:rPr>
      </w:pPr>
      <w:r w:rsidRPr="004004C0">
        <w:rPr>
          <w:sz w:val="24"/>
          <w:szCs w:val="24"/>
        </w:rPr>
        <w:t xml:space="preserve">Bond prices are quoted in two ways. When you look at a bond quote, you will frequently see both the dollar price and the yield. The chart below is taken from Bloomberg.com, a provider of </w:t>
      </w:r>
      <w:r w:rsidR="009E396C" w:rsidRPr="004004C0">
        <w:rPr>
          <w:sz w:val="24"/>
          <w:szCs w:val="24"/>
        </w:rPr>
        <w:t>U.S. Treasury data.</w:t>
      </w:r>
      <w:r w:rsidRPr="004004C0">
        <w:rPr>
          <w:sz w:val="24"/>
          <w:szCs w:val="24"/>
        </w:rPr>
        <w:t xml:space="preserve"> We will refer to information shown in this chart throughout the article. Notice that in the chart, both bond dollar prices and yields are quoted.</w:t>
      </w:r>
    </w:p>
    <w:p w14:paraId="1572E268" w14:textId="77777777" w:rsidR="004004C0" w:rsidRDefault="004004C0" w:rsidP="000859D5">
      <w:pPr>
        <w:spacing w:after="0" w:line="240" w:lineRule="auto"/>
        <w:rPr>
          <w:b/>
          <w:bCs/>
        </w:rPr>
      </w:pPr>
    </w:p>
    <w:p w14:paraId="73646009" w14:textId="77777777" w:rsidR="00E3557E" w:rsidRPr="004004C0" w:rsidRDefault="00E3557E" w:rsidP="00E3557E">
      <w:pPr>
        <w:rPr>
          <w:b/>
          <w:bCs/>
          <w:sz w:val="24"/>
          <w:szCs w:val="24"/>
        </w:rPr>
      </w:pPr>
      <w:r w:rsidRPr="004004C0">
        <w:rPr>
          <w:b/>
          <w:bCs/>
          <w:sz w:val="24"/>
          <w:szCs w:val="24"/>
        </w:rPr>
        <w:t>U.S. Treasuries (February 7, 2011)</w:t>
      </w:r>
    </w:p>
    <w:tbl>
      <w:tblPr>
        <w:tblW w:w="5000" w:type="pct"/>
        <w:tblCellMar>
          <w:left w:w="0" w:type="dxa"/>
          <w:right w:w="0" w:type="dxa"/>
        </w:tblCellMar>
        <w:tblLook w:val="04A0" w:firstRow="1" w:lastRow="0" w:firstColumn="1" w:lastColumn="0" w:noHBand="0" w:noVBand="1"/>
      </w:tblPr>
      <w:tblGrid>
        <w:gridCol w:w="1119"/>
        <w:gridCol w:w="1329"/>
        <w:gridCol w:w="1721"/>
        <w:gridCol w:w="2003"/>
        <w:gridCol w:w="3178"/>
        <w:gridCol w:w="10"/>
      </w:tblGrid>
      <w:tr w:rsidR="00E3557E" w:rsidRPr="00E3557E" w14:paraId="7FE3EB58" w14:textId="77777777" w:rsidTr="009E396C">
        <w:tc>
          <w:tcPr>
            <w:tcW w:w="0" w:type="auto"/>
            <w:vAlign w:val="center"/>
            <w:hideMark/>
          </w:tcPr>
          <w:p w14:paraId="6CC51DB5" w14:textId="77777777" w:rsidR="00E3557E" w:rsidRPr="00E3557E" w:rsidRDefault="00E3557E" w:rsidP="00E3557E">
            <w:pPr>
              <w:rPr>
                <w:b/>
                <w:bCs/>
              </w:rPr>
            </w:pPr>
          </w:p>
        </w:tc>
        <w:tc>
          <w:tcPr>
            <w:tcW w:w="0" w:type="auto"/>
            <w:vAlign w:val="center"/>
            <w:hideMark/>
          </w:tcPr>
          <w:p w14:paraId="6111A8A8" w14:textId="77777777" w:rsidR="00E3557E" w:rsidRPr="00E3557E" w:rsidRDefault="00E3557E" w:rsidP="00E3557E">
            <w:pPr>
              <w:rPr>
                <w:b/>
                <w:bCs/>
              </w:rPr>
            </w:pPr>
            <w:r w:rsidRPr="00E3557E">
              <w:rPr>
                <w:b/>
                <w:bCs/>
              </w:rPr>
              <w:t>COUPON</w:t>
            </w:r>
          </w:p>
        </w:tc>
        <w:tc>
          <w:tcPr>
            <w:tcW w:w="0" w:type="auto"/>
            <w:vAlign w:val="center"/>
            <w:hideMark/>
          </w:tcPr>
          <w:p w14:paraId="7D801144" w14:textId="77777777" w:rsidR="00E3557E" w:rsidRPr="00E3557E" w:rsidRDefault="00E3557E" w:rsidP="00E3557E">
            <w:pPr>
              <w:rPr>
                <w:b/>
                <w:bCs/>
              </w:rPr>
            </w:pPr>
            <w:r w:rsidRPr="00E3557E">
              <w:rPr>
                <w:b/>
                <w:bCs/>
              </w:rPr>
              <w:t>MATURITY</w:t>
            </w:r>
          </w:p>
        </w:tc>
        <w:tc>
          <w:tcPr>
            <w:tcW w:w="0" w:type="auto"/>
            <w:vAlign w:val="center"/>
            <w:hideMark/>
          </w:tcPr>
          <w:p w14:paraId="35234E8C" w14:textId="77777777" w:rsidR="00E3557E" w:rsidRPr="00E3557E" w:rsidRDefault="00E3557E" w:rsidP="00E3557E">
            <w:pPr>
              <w:rPr>
                <w:b/>
                <w:bCs/>
              </w:rPr>
            </w:pPr>
            <w:r w:rsidRPr="00E3557E">
              <w:rPr>
                <w:b/>
                <w:bCs/>
              </w:rPr>
              <w:t>PRICE/YIELD</w:t>
            </w:r>
          </w:p>
        </w:tc>
        <w:tc>
          <w:tcPr>
            <w:tcW w:w="0" w:type="auto"/>
            <w:vAlign w:val="center"/>
            <w:hideMark/>
          </w:tcPr>
          <w:p w14:paraId="2689199E" w14:textId="77777777" w:rsidR="00E3557E" w:rsidRPr="00E3557E" w:rsidRDefault="00E3557E" w:rsidP="00E3557E">
            <w:pPr>
              <w:rPr>
                <w:b/>
                <w:bCs/>
              </w:rPr>
            </w:pPr>
            <w:r w:rsidRPr="00E3557E">
              <w:rPr>
                <w:b/>
                <w:bCs/>
              </w:rPr>
              <w:t>PRICE/YIELD CHANGE</w:t>
            </w:r>
          </w:p>
        </w:tc>
        <w:tc>
          <w:tcPr>
            <w:tcW w:w="0" w:type="auto"/>
            <w:vAlign w:val="center"/>
          </w:tcPr>
          <w:p w14:paraId="74A8842F" w14:textId="77777777" w:rsidR="00E3557E" w:rsidRPr="00E3557E" w:rsidRDefault="00E3557E" w:rsidP="00E3557E">
            <w:pPr>
              <w:rPr>
                <w:b/>
                <w:bCs/>
              </w:rPr>
            </w:pPr>
          </w:p>
        </w:tc>
      </w:tr>
      <w:tr w:rsidR="00E3557E" w:rsidRPr="00E3557E" w14:paraId="7B1C5CBE" w14:textId="77777777" w:rsidTr="009E396C">
        <w:tc>
          <w:tcPr>
            <w:tcW w:w="0" w:type="auto"/>
            <w:shd w:val="clear" w:color="auto" w:fill="E1E1E1"/>
            <w:vAlign w:val="center"/>
            <w:hideMark/>
          </w:tcPr>
          <w:p w14:paraId="65C87AF0" w14:textId="77777777" w:rsidR="00E3557E" w:rsidRPr="00E3557E" w:rsidRDefault="00E3557E" w:rsidP="00E3557E">
            <w:r w:rsidRPr="00E3557E">
              <w:t>2-Year</w:t>
            </w:r>
          </w:p>
        </w:tc>
        <w:tc>
          <w:tcPr>
            <w:tcW w:w="0" w:type="auto"/>
            <w:shd w:val="clear" w:color="auto" w:fill="E1E1E1"/>
            <w:vAlign w:val="center"/>
            <w:hideMark/>
          </w:tcPr>
          <w:p w14:paraId="57213FA6" w14:textId="77777777" w:rsidR="00E3557E" w:rsidRPr="00E3557E" w:rsidRDefault="00E3557E" w:rsidP="00E3557E">
            <w:r w:rsidRPr="00E3557E">
              <w:t>0.625</w:t>
            </w:r>
          </w:p>
        </w:tc>
        <w:tc>
          <w:tcPr>
            <w:tcW w:w="0" w:type="auto"/>
            <w:shd w:val="clear" w:color="auto" w:fill="E1E1E1"/>
            <w:vAlign w:val="center"/>
            <w:hideMark/>
          </w:tcPr>
          <w:p w14:paraId="3193A3D0" w14:textId="77777777" w:rsidR="00E3557E" w:rsidRPr="00E3557E" w:rsidRDefault="00E3557E" w:rsidP="00E3557E">
            <w:r w:rsidRPr="00E3557E">
              <w:t>01/31/2013</w:t>
            </w:r>
          </w:p>
        </w:tc>
        <w:tc>
          <w:tcPr>
            <w:tcW w:w="0" w:type="auto"/>
            <w:shd w:val="clear" w:color="auto" w:fill="E1E1E1"/>
            <w:vAlign w:val="center"/>
            <w:hideMark/>
          </w:tcPr>
          <w:p w14:paraId="08003A9B" w14:textId="77777777" w:rsidR="00E3557E" w:rsidRPr="00E3557E" w:rsidRDefault="00E3557E" w:rsidP="00E3557E">
            <w:r w:rsidRPr="00E3557E">
              <w:t>99-23 / 0.77</w:t>
            </w:r>
          </w:p>
        </w:tc>
        <w:tc>
          <w:tcPr>
            <w:tcW w:w="0" w:type="auto"/>
            <w:shd w:val="clear" w:color="auto" w:fill="E1E1E1"/>
            <w:vAlign w:val="center"/>
            <w:hideMark/>
          </w:tcPr>
          <w:p w14:paraId="0BD51032" w14:textId="77777777" w:rsidR="00E3557E" w:rsidRPr="00E3557E" w:rsidRDefault="00E3557E" w:rsidP="00E3557E">
            <w:r w:rsidRPr="00E3557E">
              <w:t>-0-01½ / 0.024</w:t>
            </w:r>
          </w:p>
        </w:tc>
        <w:tc>
          <w:tcPr>
            <w:tcW w:w="0" w:type="auto"/>
            <w:shd w:val="clear" w:color="auto" w:fill="E1E1E1"/>
            <w:vAlign w:val="center"/>
          </w:tcPr>
          <w:p w14:paraId="07DB175F" w14:textId="77777777" w:rsidR="00E3557E" w:rsidRPr="00E3557E" w:rsidRDefault="00E3557E" w:rsidP="00E3557E"/>
        </w:tc>
      </w:tr>
      <w:tr w:rsidR="00E3557E" w:rsidRPr="00E3557E" w14:paraId="77CFC0D7" w14:textId="77777777" w:rsidTr="009E396C">
        <w:tc>
          <w:tcPr>
            <w:tcW w:w="0" w:type="auto"/>
            <w:vAlign w:val="center"/>
            <w:hideMark/>
          </w:tcPr>
          <w:p w14:paraId="0A1EDEEF" w14:textId="77777777" w:rsidR="00E3557E" w:rsidRPr="00E3557E" w:rsidRDefault="00E3557E" w:rsidP="00E3557E">
            <w:r w:rsidRPr="00E3557E">
              <w:t>3-Year</w:t>
            </w:r>
          </w:p>
        </w:tc>
        <w:tc>
          <w:tcPr>
            <w:tcW w:w="0" w:type="auto"/>
            <w:vAlign w:val="center"/>
            <w:hideMark/>
          </w:tcPr>
          <w:p w14:paraId="5D5B3EAE" w14:textId="77777777" w:rsidR="00E3557E" w:rsidRPr="00E3557E" w:rsidRDefault="00E3557E" w:rsidP="00E3557E">
            <w:r w:rsidRPr="00E3557E">
              <w:t>1.000</w:t>
            </w:r>
          </w:p>
        </w:tc>
        <w:tc>
          <w:tcPr>
            <w:tcW w:w="0" w:type="auto"/>
            <w:vAlign w:val="center"/>
            <w:hideMark/>
          </w:tcPr>
          <w:p w14:paraId="10807A79" w14:textId="77777777" w:rsidR="00E3557E" w:rsidRPr="00E3557E" w:rsidRDefault="00E3557E" w:rsidP="00E3557E">
            <w:r w:rsidRPr="00E3557E">
              <w:t>01/15/2014</w:t>
            </w:r>
          </w:p>
        </w:tc>
        <w:tc>
          <w:tcPr>
            <w:tcW w:w="0" w:type="auto"/>
            <w:vAlign w:val="center"/>
            <w:hideMark/>
          </w:tcPr>
          <w:p w14:paraId="2BE71E98" w14:textId="77777777" w:rsidR="00E3557E" w:rsidRPr="00E3557E" w:rsidRDefault="00E3557E" w:rsidP="00E3557E">
            <w:r w:rsidRPr="00E3557E">
              <w:t>99-08+ / 1.25</w:t>
            </w:r>
          </w:p>
        </w:tc>
        <w:tc>
          <w:tcPr>
            <w:tcW w:w="0" w:type="auto"/>
            <w:vAlign w:val="center"/>
            <w:hideMark/>
          </w:tcPr>
          <w:p w14:paraId="5C8D6E41" w14:textId="77777777" w:rsidR="00E3557E" w:rsidRPr="00E3557E" w:rsidRDefault="00E3557E" w:rsidP="00E3557E">
            <w:r w:rsidRPr="00E3557E">
              <w:t>-0-02 / 0.022</w:t>
            </w:r>
          </w:p>
        </w:tc>
        <w:tc>
          <w:tcPr>
            <w:tcW w:w="0" w:type="auto"/>
            <w:vAlign w:val="center"/>
          </w:tcPr>
          <w:p w14:paraId="38CBA6EE" w14:textId="77777777" w:rsidR="00E3557E" w:rsidRPr="00E3557E" w:rsidRDefault="00E3557E" w:rsidP="00E3557E"/>
        </w:tc>
      </w:tr>
      <w:tr w:rsidR="00E3557E" w:rsidRPr="00E3557E" w14:paraId="4924E810" w14:textId="77777777" w:rsidTr="009E396C">
        <w:tc>
          <w:tcPr>
            <w:tcW w:w="0" w:type="auto"/>
            <w:shd w:val="clear" w:color="auto" w:fill="E1E1E1"/>
            <w:vAlign w:val="center"/>
            <w:hideMark/>
          </w:tcPr>
          <w:p w14:paraId="7825E3C6" w14:textId="77777777" w:rsidR="00E3557E" w:rsidRPr="00E3557E" w:rsidRDefault="00E3557E" w:rsidP="00E3557E">
            <w:r w:rsidRPr="00E3557E">
              <w:t>5-Year</w:t>
            </w:r>
          </w:p>
        </w:tc>
        <w:tc>
          <w:tcPr>
            <w:tcW w:w="0" w:type="auto"/>
            <w:shd w:val="clear" w:color="auto" w:fill="E1E1E1"/>
            <w:vAlign w:val="center"/>
            <w:hideMark/>
          </w:tcPr>
          <w:p w14:paraId="60A023E1" w14:textId="77777777" w:rsidR="00E3557E" w:rsidRPr="00E3557E" w:rsidRDefault="00E3557E" w:rsidP="00E3557E">
            <w:r w:rsidRPr="00E3557E">
              <w:t>2.000</w:t>
            </w:r>
          </w:p>
        </w:tc>
        <w:tc>
          <w:tcPr>
            <w:tcW w:w="0" w:type="auto"/>
            <w:shd w:val="clear" w:color="auto" w:fill="E1E1E1"/>
            <w:vAlign w:val="center"/>
            <w:hideMark/>
          </w:tcPr>
          <w:p w14:paraId="7A8D5FCD" w14:textId="77777777" w:rsidR="00E3557E" w:rsidRPr="00E3557E" w:rsidRDefault="00E3557E" w:rsidP="00E3557E">
            <w:r w:rsidRPr="00E3557E">
              <w:t>01/31/2016</w:t>
            </w:r>
          </w:p>
        </w:tc>
        <w:tc>
          <w:tcPr>
            <w:tcW w:w="0" w:type="auto"/>
            <w:shd w:val="clear" w:color="auto" w:fill="E1E1E1"/>
            <w:vAlign w:val="center"/>
            <w:hideMark/>
          </w:tcPr>
          <w:p w14:paraId="1CA13F59" w14:textId="77777777" w:rsidR="00E3557E" w:rsidRPr="00E3557E" w:rsidRDefault="00E3557E" w:rsidP="00E3557E">
            <w:r w:rsidRPr="00E3557E">
              <w:t>98-22 / 2.28</w:t>
            </w:r>
          </w:p>
        </w:tc>
        <w:tc>
          <w:tcPr>
            <w:tcW w:w="0" w:type="auto"/>
            <w:shd w:val="clear" w:color="auto" w:fill="E1E1E1"/>
            <w:vAlign w:val="center"/>
            <w:hideMark/>
          </w:tcPr>
          <w:p w14:paraId="7108072E" w14:textId="77777777" w:rsidR="00E3557E" w:rsidRPr="00E3557E" w:rsidRDefault="00E3557E" w:rsidP="00E3557E">
            <w:r w:rsidRPr="00E3557E">
              <w:t>-0-03 / 0.020</w:t>
            </w:r>
          </w:p>
        </w:tc>
        <w:tc>
          <w:tcPr>
            <w:tcW w:w="0" w:type="auto"/>
            <w:shd w:val="clear" w:color="auto" w:fill="E1E1E1"/>
            <w:vAlign w:val="center"/>
          </w:tcPr>
          <w:p w14:paraId="5C086559" w14:textId="77777777" w:rsidR="00E3557E" w:rsidRPr="00E3557E" w:rsidRDefault="00E3557E" w:rsidP="00E3557E"/>
        </w:tc>
      </w:tr>
      <w:tr w:rsidR="00E3557E" w:rsidRPr="00E3557E" w14:paraId="571B1EAE" w14:textId="77777777" w:rsidTr="009E396C">
        <w:tc>
          <w:tcPr>
            <w:tcW w:w="0" w:type="auto"/>
            <w:vAlign w:val="center"/>
            <w:hideMark/>
          </w:tcPr>
          <w:p w14:paraId="27E79AC3" w14:textId="77777777" w:rsidR="00E3557E" w:rsidRPr="00E3557E" w:rsidRDefault="00E3557E" w:rsidP="00E3557E">
            <w:r w:rsidRPr="00E3557E">
              <w:t>7-Year</w:t>
            </w:r>
          </w:p>
        </w:tc>
        <w:tc>
          <w:tcPr>
            <w:tcW w:w="0" w:type="auto"/>
            <w:vAlign w:val="center"/>
            <w:hideMark/>
          </w:tcPr>
          <w:p w14:paraId="7B28E25C" w14:textId="77777777" w:rsidR="00E3557E" w:rsidRPr="00E3557E" w:rsidRDefault="00E3557E" w:rsidP="00E3557E">
            <w:r w:rsidRPr="00E3557E">
              <w:t>2.625</w:t>
            </w:r>
          </w:p>
        </w:tc>
        <w:tc>
          <w:tcPr>
            <w:tcW w:w="0" w:type="auto"/>
            <w:vAlign w:val="center"/>
            <w:hideMark/>
          </w:tcPr>
          <w:p w14:paraId="6A80D41D" w14:textId="77777777" w:rsidR="00E3557E" w:rsidRPr="00E3557E" w:rsidRDefault="00E3557E" w:rsidP="00E3557E">
            <w:r w:rsidRPr="00E3557E">
              <w:t>01/31/2018</w:t>
            </w:r>
          </w:p>
        </w:tc>
        <w:tc>
          <w:tcPr>
            <w:tcW w:w="0" w:type="auto"/>
            <w:vAlign w:val="center"/>
            <w:hideMark/>
          </w:tcPr>
          <w:p w14:paraId="6B563D91" w14:textId="77777777" w:rsidR="00E3557E" w:rsidRPr="00E3557E" w:rsidRDefault="00E3557E" w:rsidP="00E3557E">
            <w:r w:rsidRPr="00E3557E">
              <w:t>97-16+ / 3.02</w:t>
            </w:r>
          </w:p>
        </w:tc>
        <w:tc>
          <w:tcPr>
            <w:tcW w:w="0" w:type="auto"/>
            <w:vAlign w:val="center"/>
            <w:hideMark/>
          </w:tcPr>
          <w:p w14:paraId="6684C621" w14:textId="77777777" w:rsidR="00E3557E" w:rsidRPr="00E3557E" w:rsidRDefault="00E3557E" w:rsidP="00E3557E">
            <w:r w:rsidRPr="00E3557E">
              <w:t>-0-03½ / 0.018</w:t>
            </w:r>
          </w:p>
        </w:tc>
        <w:tc>
          <w:tcPr>
            <w:tcW w:w="0" w:type="auto"/>
            <w:vAlign w:val="center"/>
          </w:tcPr>
          <w:p w14:paraId="0EB1D3E8" w14:textId="77777777" w:rsidR="00E3557E" w:rsidRPr="00E3557E" w:rsidRDefault="00E3557E" w:rsidP="00E3557E"/>
        </w:tc>
      </w:tr>
      <w:tr w:rsidR="00E3557E" w:rsidRPr="00E3557E" w14:paraId="0597E467" w14:textId="77777777" w:rsidTr="009E396C">
        <w:tc>
          <w:tcPr>
            <w:tcW w:w="0" w:type="auto"/>
            <w:shd w:val="clear" w:color="auto" w:fill="E1E1E1"/>
            <w:vAlign w:val="center"/>
            <w:hideMark/>
          </w:tcPr>
          <w:p w14:paraId="4674EA47" w14:textId="77777777" w:rsidR="00E3557E" w:rsidRPr="00E3557E" w:rsidRDefault="00E3557E" w:rsidP="00E3557E">
            <w:r w:rsidRPr="00E3557E">
              <w:t>10-Year</w:t>
            </w:r>
          </w:p>
        </w:tc>
        <w:tc>
          <w:tcPr>
            <w:tcW w:w="0" w:type="auto"/>
            <w:shd w:val="clear" w:color="auto" w:fill="E1E1E1"/>
            <w:vAlign w:val="center"/>
            <w:hideMark/>
          </w:tcPr>
          <w:p w14:paraId="0E4C834F" w14:textId="77777777" w:rsidR="00E3557E" w:rsidRPr="00E3557E" w:rsidRDefault="00E3557E" w:rsidP="00E3557E">
            <w:r w:rsidRPr="00E3557E">
              <w:t>2.625</w:t>
            </w:r>
          </w:p>
        </w:tc>
        <w:tc>
          <w:tcPr>
            <w:tcW w:w="0" w:type="auto"/>
            <w:shd w:val="clear" w:color="auto" w:fill="E1E1E1"/>
            <w:vAlign w:val="center"/>
            <w:hideMark/>
          </w:tcPr>
          <w:p w14:paraId="28561530" w14:textId="77777777" w:rsidR="00E3557E" w:rsidRPr="00E3557E" w:rsidRDefault="00E3557E" w:rsidP="00E3557E">
            <w:r w:rsidRPr="00E3557E">
              <w:t>11/15/2020</w:t>
            </w:r>
          </w:p>
        </w:tc>
        <w:tc>
          <w:tcPr>
            <w:tcW w:w="0" w:type="auto"/>
            <w:shd w:val="clear" w:color="auto" w:fill="E1E1E1"/>
            <w:vAlign w:val="center"/>
            <w:hideMark/>
          </w:tcPr>
          <w:p w14:paraId="0977A1B7" w14:textId="77777777" w:rsidR="00E3557E" w:rsidRPr="00E3557E" w:rsidRDefault="00E3557E" w:rsidP="00E3557E">
            <w:r w:rsidRPr="00E3557E">
              <w:t>91-21½ / 3.65</w:t>
            </w:r>
          </w:p>
        </w:tc>
        <w:tc>
          <w:tcPr>
            <w:tcW w:w="0" w:type="auto"/>
            <w:shd w:val="clear" w:color="auto" w:fill="E1E1E1"/>
            <w:vAlign w:val="center"/>
            <w:hideMark/>
          </w:tcPr>
          <w:p w14:paraId="4D83A3B3" w14:textId="77777777" w:rsidR="00E3557E" w:rsidRPr="00E3557E" w:rsidRDefault="00E3557E" w:rsidP="00E3557E">
            <w:r w:rsidRPr="00E3557E">
              <w:t>-0-02+ / 0.010</w:t>
            </w:r>
          </w:p>
        </w:tc>
        <w:tc>
          <w:tcPr>
            <w:tcW w:w="0" w:type="auto"/>
            <w:shd w:val="clear" w:color="auto" w:fill="E1E1E1"/>
            <w:vAlign w:val="center"/>
          </w:tcPr>
          <w:p w14:paraId="4E2BE909" w14:textId="77777777" w:rsidR="00E3557E" w:rsidRPr="00E3557E" w:rsidRDefault="00E3557E" w:rsidP="00E3557E"/>
        </w:tc>
      </w:tr>
      <w:tr w:rsidR="00E3557E" w:rsidRPr="00E3557E" w14:paraId="4B20532B" w14:textId="77777777" w:rsidTr="009E396C">
        <w:tc>
          <w:tcPr>
            <w:tcW w:w="0" w:type="auto"/>
            <w:vAlign w:val="center"/>
            <w:hideMark/>
          </w:tcPr>
          <w:p w14:paraId="2F21E6A3" w14:textId="77777777" w:rsidR="00E3557E" w:rsidRPr="00E3557E" w:rsidRDefault="00E3557E" w:rsidP="00E3557E">
            <w:r w:rsidRPr="00E3557E">
              <w:t>30-Year</w:t>
            </w:r>
          </w:p>
        </w:tc>
        <w:tc>
          <w:tcPr>
            <w:tcW w:w="0" w:type="auto"/>
            <w:vAlign w:val="center"/>
            <w:hideMark/>
          </w:tcPr>
          <w:p w14:paraId="4299BCED" w14:textId="77777777" w:rsidR="00E3557E" w:rsidRPr="00E3557E" w:rsidRDefault="00E3557E" w:rsidP="00E3557E">
            <w:r w:rsidRPr="00E3557E">
              <w:t>4.250</w:t>
            </w:r>
          </w:p>
        </w:tc>
        <w:tc>
          <w:tcPr>
            <w:tcW w:w="0" w:type="auto"/>
            <w:vAlign w:val="center"/>
            <w:hideMark/>
          </w:tcPr>
          <w:p w14:paraId="1EF1B567" w14:textId="77777777" w:rsidR="00E3557E" w:rsidRPr="00E3557E" w:rsidRDefault="00E3557E" w:rsidP="00E3557E">
            <w:r w:rsidRPr="00E3557E">
              <w:t>11/15/2040</w:t>
            </w:r>
          </w:p>
        </w:tc>
        <w:tc>
          <w:tcPr>
            <w:tcW w:w="0" w:type="auto"/>
            <w:vAlign w:val="center"/>
            <w:hideMark/>
          </w:tcPr>
          <w:p w14:paraId="39C8FA13" w14:textId="77777777" w:rsidR="00E3557E" w:rsidRPr="00E3557E" w:rsidRDefault="00E3557E" w:rsidP="00E3557E">
            <w:r w:rsidRPr="00E3557E">
              <w:t>92-23 / 4.71</w:t>
            </w:r>
          </w:p>
        </w:tc>
        <w:tc>
          <w:tcPr>
            <w:tcW w:w="0" w:type="auto"/>
            <w:vAlign w:val="center"/>
            <w:hideMark/>
          </w:tcPr>
          <w:p w14:paraId="6E2E7395" w14:textId="77777777" w:rsidR="00E3557E" w:rsidRPr="00E3557E" w:rsidRDefault="00E3557E" w:rsidP="00E3557E">
            <w:r w:rsidRPr="00E3557E">
              <w:t>0-10 / -0.021</w:t>
            </w:r>
          </w:p>
        </w:tc>
        <w:tc>
          <w:tcPr>
            <w:tcW w:w="0" w:type="auto"/>
            <w:vAlign w:val="center"/>
          </w:tcPr>
          <w:p w14:paraId="0714FC51" w14:textId="77777777" w:rsidR="00E3557E" w:rsidRPr="00E3557E" w:rsidRDefault="00E3557E" w:rsidP="00E3557E"/>
        </w:tc>
      </w:tr>
    </w:tbl>
    <w:p w14:paraId="322364C0" w14:textId="77777777" w:rsidR="000859D5" w:rsidRDefault="000859D5" w:rsidP="000859D5">
      <w:pPr>
        <w:spacing w:after="0" w:line="240" w:lineRule="auto"/>
        <w:rPr>
          <w:b/>
          <w:bCs/>
        </w:rPr>
      </w:pPr>
    </w:p>
    <w:p w14:paraId="12DCE235" w14:textId="77777777" w:rsidR="009E396C" w:rsidRPr="004004C0" w:rsidRDefault="006245C5" w:rsidP="00CF75EC">
      <w:pPr>
        <w:rPr>
          <w:b/>
          <w:bCs/>
          <w:sz w:val="24"/>
          <w:szCs w:val="24"/>
        </w:rPr>
      </w:pPr>
      <w:r w:rsidRPr="004004C0">
        <w:rPr>
          <w:b/>
          <w:bCs/>
          <w:sz w:val="24"/>
          <w:szCs w:val="24"/>
        </w:rPr>
        <w:t xml:space="preserve">U.S. Government Bond </w:t>
      </w:r>
      <w:r w:rsidR="009E396C" w:rsidRPr="004004C0">
        <w:rPr>
          <w:b/>
          <w:bCs/>
          <w:sz w:val="24"/>
          <w:szCs w:val="24"/>
        </w:rPr>
        <w:t>Price</w:t>
      </w:r>
      <w:r w:rsidRPr="004004C0">
        <w:rPr>
          <w:b/>
          <w:bCs/>
          <w:sz w:val="24"/>
          <w:szCs w:val="24"/>
        </w:rPr>
        <w:t>s</w:t>
      </w:r>
    </w:p>
    <w:p w14:paraId="3EDED788" w14:textId="77777777" w:rsidR="000859D5" w:rsidRPr="004004C0" w:rsidRDefault="009E396C" w:rsidP="000859D5">
      <w:pPr>
        <w:spacing w:after="0" w:line="240" w:lineRule="auto"/>
        <w:rPr>
          <w:sz w:val="24"/>
          <w:szCs w:val="24"/>
        </w:rPr>
      </w:pPr>
      <w:r w:rsidRPr="004004C0">
        <w:rPr>
          <w:sz w:val="24"/>
          <w:szCs w:val="24"/>
        </w:rPr>
        <w:t xml:space="preserve">A bond's dollar price represents a percentage of the bond's principal balance (recall that in the U.S., this is $1,000), otherwise known as </w:t>
      </w:r>
      <w:hyperlink r:id="rId8" w:history="1">
        <w:r w:rsidRPr="004004C0">
          <w:rPr>
            <w:rStyle w:val="Hyperlink"/>
            <w:color w:val="auto"/>
            <w:sz w:val="24"/>
            <w:szCs w:val="24"/>
            <w:u w:val="none"/>
          </w:rPr>
          <w:t>par or face value</w:t>
        </w:r>
      </w:hyperlink>
      <w:r w:rsidRPr="004004C0">
        <w:rPr>
          <w:sz w:val="24"/>
          <w:szCs w:val="24"/>
        </w:rPr>
        <w:t>.</w:t>
      </w:r>
      <w:r w:rsidR="000859D5" w:rsidRPr="000859D5">
        <w:rPr>
          <w:sz w:val="24"/>
          <w:szCs w:val="24"/>
        </w:rPr>
        <w:t xml:space="preserve"> </w:t>
      </w:r>
      <w:r w:rsidR="000859D5" w:rsidRPr="004004C0">
        <w:rPr>
          <w:sz w:val="24"/>
          <w:szCs w:val="24"/>
        </w:rPr>
        <w:t xml:space="preserve">Look at the 2 year Treasury above.  It has a quoted price of 99-23.  What does this mean in U.S. dollars? </w:t>
      </w:r>
    </w:p>
    <w:p w14:paraId="05FF52CD" w14:textId="77777777" w:rsidR="006245C5" w:rsidRPr="004004C0" w:rsidRDefault="006245C5" w:rsidP="004004C0">
      <w:pPr>
        <w:spacing w:after="0" w:line="240" w:lineRule="auto"/>
        <w:rPr>
          <w:sz w:val="24"/>
          <w:szCs w:val="24"/>
        </w:rPr>
      </w:pPr>
    </w:p>
    <w:p w14:paraId="2F184682" w14:textId="77777777" w:rsidR="006245C5" w:rsidRPr="004004C0" w:rsidRDefault="000859D5" w:rsidP="004004C0">
      <w:pPr>
        <w:spacing w:after="0" w:line="240" w:lineRule="auto"/>
        <w:rPr>
          <w:sz w:val="24"/>
          <w:szCs w:val="24"/>
        </w:rPr>
      </w:pPr>
      <w:r>
        <w:rPr>
          <w:sz w:val="24"/>
          <w:szCs w:val="24"/>
        </w:rPr>
        <w:t xml:space="preserve">To begin, note that </w:t>
      </w:r>
      <w:r w:rsidR="006245C5" w:rsidRPr="004004C0">
        <w:rPr>
          <w:sz w:val="24"/>
          <w:szCs w:val="24"/>
        </w:rPr>
        <w:t xml:space="preserve">U.S. Government Bonds are quoted in 32nds of a dollar. </w:t>
      </w:r>
    </w:p>
    <w:p w14:paraId="5155C05E" w14:textId="77777777" w:rsidR="004004C0" w:rsidRPr="004004C0" w:rsidRDefault="004004C0" w:rsidP="004004C0">
      <w:pPr>
        <w:spacing w:after="0" w:line="240" w:lineRule="auto"/>
        <w:rPr>
          <w:sz w:val="24"/>
          <w:szCs w:val="24"/>
        </w:rPr>
      </w:pPr>
    </w:p>
    <w:p w14:paraId="61C1B980" w14:textId="77777777" w:rsidR="007215B9" w:rsidRDefault="009E396C" w:rsidP="004004C0">
      <w:pPr>
        <w:spacing w:after="0" w:line="240" w:lineRule="auto"/>
        <w:rPr>
          <w:sz w:val="24"/>
          <w:szCs w:val="24"/>
        </w:rPr>
      </w:pPr>
      <w:r w:rsidRPr="004004C0">
        <w:rPr>
          <w:sz w:val="24"/>
          <w:szCs w:val="24"/>
        </w:rPr>
        <w:t>A</w:t>
      </w:r>
      <w:r w:rsidR="004004C0">
        <w:rPr>
          <w:sz w:val="24"/>
          <w:szCs w:val="24"/>
        </w:rPr>
        <w:t xml:space="preserve"> </w:t>
      </w:r>
      <w:r w:rsidR="006245C5" w:rsidRPr="004004C0">
        <w:rPr>
          <w:sz w:val="24"/>
          <w:szCs w:val="24"/>
        </w:rPr>
        <w:t>U.S. Treasuries</w:t>
      </w:r>
      <w:r w:rsidRPr="004004C0">
        <w:rPr>
          <w:sz w:val="24"/>
          <w:szCs w:val="24"/>
        </w:rPr>
        <w:t xml:space="preserve"> price consists of a "handle" (the numbers to the left of the -) and "32</w:t>
      </w:r>
      <w:r w:rsidRPr="004004C0">
        <w:rPr>
          <w:sz w:val="24"/>
          <w:szCs w:val="24"/>
          <w:vertAlign w:val="superscript"/>
        </w:rPr>
        <w:t>nd</w:t>
      </w:r>
      <w:r w:rsidRPr="004004C0">
        <w:rPr>
          <w:sz w:val="24"/>
          <w:szCs w:val="24"/>
        </w:rPr>
        <w:t>s". The two-year Treasury's handle is 99, and the 32</w:t>
      </w:r>
      <w:r w:rsidRPr="004004C0">
        <w:rPr>
          <w:sz w:val="24"/>
          <w:szCs w:val="24"/>
          <w:vertAlign w:val="superscript"/>
        </w:rPr>
        <w:t>nd</w:t>
      </w:r>
      <w:r w:rsidRPr="004004C0">
        <w:rPr>
          <w:sz w:val="24"/>
          <w:szCs w:val="24"/>
        </w:rPr>
        <w:t xml:space="preserve">s are 23. We must convert those values into a percentage to determine the market price </w:t>
      </w:r>
      <w:r w:rsidR="006245C5" w:rsidRPr="004004C0">
        <w:rPr>
          <w:sz w:val="24"/>
          <w:szCs w:val="24"/>
        </w:rPr>
        <w:t>for this</w:t>
      </w:r>
      <w:r w:rsidRPr="004004C0">
        <w:rPr>
          <w:sz w:val="24"/>
          <w:szCs w:val="24"/>
        </w:rPr>
        <w:t xml:space="preserve"> bond. To do so, we first divide 23 by 32. This </w:t>
      </w:r>
      <w:r w:rsidRPr="004004C0">
        <w:rPr>
          <w:sz w:val="24"/>
          <w:szCs w:val="24"/>
        </w:rPr>
        <w:lastRenderedPageBreak/>
        <w:t>equals .71875. We then add that amount to 99 (the handle), which equals 99.71875. So, 99-23 equals 99.71875% of the par value of $1,000, which equals $997.1875</w:t>
      </w:r>
      <w:r w:rsidR="007215B9" w:rsidRPr="004004C0">
        <w:rPr>
          <w:sz w:val="24"/>
          <w:szCs w:val="24"/>
        </w:rPr>
        <w:t>.</w:t>
      </w:r>
      <w:r w:rsidR="006245C5" w:rsidRPr="004004C0">
        <w:rPr>
          <w:sz w:val="24"/>
          <w:szCs w:val="24"/>
        </w:rPr>
        <w:t xml:space="preserve"> </w:t>
      </w:r>
    </w:p>
    <w:p w14:paraId="5FF65E28" w14:textId="77777777" w:rsidR="004004C0" w:rsidRPr="004004C0" w:rsidRDefault="004004C0" w:rsidP="004004C0">
      <w:pPr>
        <w:spacing w:after="0" w:line="240" w:lineRule="auto"/>
        <w:rPr>
          <w:sz w:val="24"/>
          <w:szCs w:val="24"/>
        </w:rPr>
      </w:pPr>
    </w:p>
    <w:p w14:paraId="09870BA3" w14:textId="77777777" w:rsidR="007215B9" w:rsidRDefault="007215B9" w:rsidP="004004C0">
      <w:pPr>
        <w:spacing w:after="0" w:line="240" w:lineRule="auto"/>
        <w:rPr>
          <w:sz w:val="24"/>
          <w:szCs w:val="24"/>
        </w:rPr>
      </w:pPr>
      <w:r w:rsidRPr="004004C0">
        <w:rPr>
          <w:sz w:val="24"/>
          <w:szCs w:val="24"/>
        </w:rPr>
        <w:t xml:space="preserve">Some very active issues may be quoted in 64ths of a point. To reflect this in the quote, a plus sign (+) would follow the price.  The </w:t>
      </w:r>
      <w:proofErr w:type="gramStart"/>
      <w:r w:rsidRPr="004004C0">
        <w:rPr>
          <w:sz w:val="24"/>
          <w:szCs w:val="24"/>
        </w:rPr>
        <w:t>3 year</w:t>
      </w:r>
      <w:proofErr w:type="gramEnd"/>
      <w:r w:rsidRPr="004004C0">
        <w:rPr>
          <w:sz w:val="24"/>
          <w:szCs w:val="24"/>
        </w:rPr>
        <w:t xml:space="preserve"> bond quote of 99-08+ means 99 and 8/32 plus 1/16 or 99 and 17/64.  The 17/64 equals .265625 which we add to the handle for a price of 99.265625% of par, or $992.65625.</w:t>
      </w:r>
    </w:p>
    <w:p w14:paraId="1CD61D4C" w14:textId="77777777" w:rsidR="004004C0" w:rsidRPr="004004C0" w:rsidRDefault="004004C0" w:rsidP="004004C0">
      <w:pPr>
        <w:spacing w:after="0" w:line="240" w:lineRule="auto"/>
        <w:rPr>
          <w:sz w:val="24"/>
          <w:szCs w:val="24"/>
        </w:rPr>
      </w:pPr>
    </w:p>
    <w:p w14:paraId="5D2E9F1C" w14:textId="77777777" w:rsidR="00E3557E" w:rsidRPr="004004C0" w:rsidRDefault="009E396C" w:rsidP="004004C0">
      <w:pPr>
        <w:spacing w:after="0" w:line="240" w:lineRule="auto"/>
        <w:rPr>
          <w:sz w:val="24"/>
          <w:szCs w:val="24"/>
        </w:rPr>
      </w:pPr>
      <w:r w:rsidRPr="004004C0">
        <w:rPr>
          <w:sz w:val="24"/>
          <w:szCs w:val="24"/>
        </w:rPr>
        <w:t>Also note that t</w:t>
      </w:r>
      <w:r w:rsidR="006245C5" w:rsidRPr="004004C0">
        <w:rPr>
          <w:sz w:val="24"/>
          <w:szCs w:val="24"/>
        </w:rPr>
        <w:t xml:space="preserve">he 2 </w:t>
      </w:r>
      <w:r w:rsidRPr="004004C0">
        <w:rPr>
          <w:sz w:val="24"/>
          <w:szCs w:val="24"/>
        </w:rPr>
        <w:t>year Treasury is trading at a discount, which means that it is trading at less than its par value. If it were "trading at par", its price would be 100. If it were trading at a premium, its price would be greater than 100.</w:t>
      </w:r>
      <w:r w:rsidRPr="004004C0">
        <w:rPr>
          <w:sz w:val="24"/>
          <w:szCs w:val="24"/>
        </w:rPr>
        <w:br/>
      </w:r>
    </w:p>
    <w:tbl>
      <w:tblPr>
        <w:tblW w:w="4800" w:type="dxa"/>
        <w:jc w:val="center"/>
        <w:tblCellMar>
          <w:left w:w="0" w:type="dxa"/>
          <w:right w:w="0" w:type="dxa"/>
        </w:tblCellMar>
        <w:tblLook w:val="04A0" w:firstRow="1" w:lastRow="0" w:firstColumn="1" w:lastColumn="0" w:noHBand="0" w:noVBand="1"/>
      </w:tblPr>
      <w:tblGrid>
        <w:gridCol w:w="4800"/>
      </w:tblGrid>
      <w:tr w:rsidR="00CF75EC" w:rsidRPr="004004C0" w14:paraId="30771B92" w14:textId="77777777" w:rsidTr="00CF75EC">
        <w:trPr>
          <w:jc w:val="center"/>
        </w:trPr>
        <w:tc>
          <w:tcPr>
            <w:tcW w:w="0" w:type="auto"/>
            <w:vAlign w:val="center"/>
            <w:hideMark/>
          </w:tcPr>
          <w:p w14:paraId="609ADF58" w14:textId="77777777" w:rsidR="00CF75EC" w:rsidRPr="004004C0" w:rsidRDefault="00CF75EC" w:rsidP="00CF75EC">
            <w:pPr>
              <w:rPr>
                <w:sz w:val="24"/>
                <w:szCs w:val="24"/>
              </w:rPr>
            </w:pPr>
          </w:p>
        </w:tc>
      </w:tr>
      <w:tr w:rsidR="00CF75EC" w:rsidRPr="004004C0" w14:paraId="3D62EADD" w14:textId="77777777" w:rsidTr="00CF75EC">
        <w:trPr>
          <w:jc w:val="center"/>
        </w:trPr>
        <w:tc>
          <w:tcPr>
            <w:tcW w:w="0" w:type="auto"/>
            <w:vAlign w:val="center"/>
            <w:hideMark/>
          </w:tcPr>
          <w:p w14:paraId="64697964" w14:textId="77777777" w:rsidR="00CF75EC" w:rsidRPr="004004C0" w:rsidRDefault="00CF75EC" w:rsidP="00CF75EC">
            <w:pPr>
              <w:rPr>
                <w:sz w:val="24"/>
                <w:szCs w:val="24"/>
              </w:rPr>
            </w:pPr>
          </w:p>
        </w:tc>
      </w:tr>
    </w:tbl>
    <w:p w14:paraId="16D8EB97" w14:textId="77777777" w:rsidR="00DA7A5A" w:rsidRPr="004004C0" w:rsidRDefault="00DA7A5A" w:rsidP="00CF75EC">
      <w:pPr>
        <w:rPr>
          <w:b/>
          <w:sz w:val="24"/>
          <w:szCs w:val="24"/>
        </w:rPr>
      </w:pPr>
      <w:r w:rsidRPr="004004C0">
        <w:rPr>
          <w:b/>
          <w:sz w:val="24"/>
          <w:szCs w:val="24"/>
        </w:rPr>
        <w:t>Price and Yield Change</w:t>
      </w:r>
    </w:p>
    <w:p w14:paraId="1AD2C863" w14:textId="77777777" w:rsidR="00DA7A5A" w:rsidRPr="004004C0" w:rsidRDefault="00DA7A5A" w:rsidP="004004C0">
      <w:pPr>
        <w:spacing w:after="0" w:line="240" w:lineRule="auto"/>
        <w:rPr>
          <w:sz w:val="24"/>
          <w:szCs w:val="24"/>
        </w:rPr>
      </w:pPr>
      <w:r w:rsidRPr="004004C0">
        <w:rPr>
          <w:sz w:val="24"/>
          <w:szCs w:val="24"/>
        </w:rPr>
        <w:t xml:space="preserve">The price and yield change data </w:t>
      </w:r>
      <w:r w:rsidR="006245C5" w:rsidRPr="004004C0">
        <w:rPr>
          <w:sz w:val="24"/>
          <w:szCs w:val="24"/>
        </w:rPr>
        <w:t xml:space="preserve">for U.S. Treasuries </w:t>
      </w:r>
      <w:r w:rsidRPr="004004C0">
        <w:rPr>
          <w:sz w:val="24"/>
          <w:szCs w:val="24"/>
        </w:rPr>
        <w:t>presented in the Bloomberg illustration sh</w:t>
      </w:r>
      <w:r w:rsidR="00085358" w:rsidRPr="004004C0">
        <w:rPr>
          <w:sz w:val="24"/>
          <w:szCs w:val="24"/>
        </w:rPr>
        <w:t>ow the price change (handle and "32</w:t>
      </w:r>
      <w:r w:rsidR="00085358" w:rsidRPr="004004C0">
        <w:rPr>
          <w:sz w:val="24"/>
          <w:szCs w:val="24"/>
          <w:vertAlign w:val="superscript"/>
        </w:rPr>
        <w:t>nd</w:t>
      </w:r>
      <w:r w:rsidR="00085358" w:rsidRPr="004004C0">
        <w:rPr>
          <w:sz w:val="24"/>
          <w:szCs w:val="24"/>
        </w:rPr>
        <w:t>s") from the close the trading day before.  Thus the 3 year bond’s price is down 2 "32</w:t>
      </w:r>
      <w:r w:rsidR="00085358" w:rsidRPr="004004C0">
        <w:rPr>
          <w:sz w:val="24"/>
          <w:szCs w:val="24"/>
          <w:vertAlign w:val="superscript"/>
        </w:rPr>
        <w:t>nd</w:t>
      </w:r>
      <w:r w:rsidR="00085358" w:rsidRPr="004004C0">
        <w:rPr>
          <w:sz w:val="24"/>
          <w:szCs w:val="24"/>
        </w:rPr>
        <w:t>s"</w:t>
      </w:r>
      <w:r w:rsidR="00272A02" w:rsidRPr="004004C0">
        <w:rPr>
          <w:sz w:val="24"/>
          <w:szCs w:val="24"/>
        </w:rPr>
        <w:t>, and</w:t>
      </w:r>
      <w:r w:rsidR="00085358" w:rsidRPr="004004C0">
        <w:rPr>
          <w:sz w:val="24"/>
          <w:szCs w:val="24"/>
        </w:rPr>
        <w:t xml:space="preserve"> the yield is up 0.022 percentage points (or basis points).</w:t>
      </w:r>
    </w:p>
    <w:p w14:paraId="235E5136" w14:textId="77777777" w:rsidR="000859D5" w:rsidRDefault="000859D5" w:rsidP="000859D5">
      <w:pPr>
        <w:spacing w:after="0" w:line="240" w:lineRule="auto"/>
        <w:rPr>
          <w:b/>
          <w:sz w:val="24"/>
          <w:szCs w:val="24"/>
        </w:rPr>
      </w:pPr>
    </w:p>
    <w:p w14:paraId="745E56E3" w14:textId="77777777" w:rsidR="009803F4" w:rsidRPr="004004C0" w:rsidRDefault="009803F4" w:rsidP="00CF75EC">
      <w:pPr>
        <w:rPr>
          <w:b/>
          <w:sz w:val="24"/>
          <w:szCs w:val="24"/>
        </w:rPr>
      </w:pPr>
      <w:r w:rsidRPr="004004C0">
        <w:rPr>
          <w:b/>
          <w:sz w:val="24"/>
          <w:szCs w:val="24"/>
        </w:rPr>
        <w:t>Corporate and Foreign Government Bond Quotes</w:t>
      </w:r>
    </w:p>
    <w:p w14:paraId="62382D3C" w14:textId="77777777" w:rsidR="009803F4" w:rsidRPr="004004C0" w:rsidRDefault="009803F4" w:rsidP="004004C0">
      <w:pPr>
        <w:pStyle w:val="NormalWeb"/>
        <w:spacing w:before="0" w:beforeAutospacing="0" w:after="0" w:afterAutospacing="0"/>
        <w:rPr>
          <w:rFonts w:asciiTheme="minorHAnsi" w:hAnsiTheme="minorHAnsi" w:cstheme="minorHAnsi"/>
        </w:rPr>
      </w:pPr>
      <w:r w:rsidRPr="004004C0">
        <w:rPr>
          <w:rFonts w:asciiTheme="minorHAnsi" w:hAnsiTheme="minorHAnsi" w:cstheme="minorHAnsi"/>
        </w:rPr>
        <w:t>Only the market for U.</w:t>
      </w:r>
      <w:r w:rsidR="00535265" w:rsidRPr="004004C0">
        <w:rPr>
          <w:rFonts w:asciiTheme="minorHAnsi" w:hAnsiTheme="minorHAnsi" w:cstheme="minorHAnsi"/>
        </w:rPr>
        <w:t>S. Treasuries</w:t>
      </w:r>
      <w:r w:rsidRPr="004004C0">
        <w:rPr>
          <w:rFonts w:asciiTheme="minorHAnsi" w:hAnsiTheme="minorHAnsi" w:cstheme="minorHAnsi"/>
        </w:rPr>
        <w:t xml:space="preserve"> prices </w:t>
      </w:r>
      <w:r w:rsidR="00535265" w:rsidRPr="004004C0">
        <w:rPr>
          <w:rFonts w:asciiTheme="minorHAnsi" w:hAnsiTheme="minorHAnsi" w:cstheme="minorHAnsi"/>
        </w:rPr>
        <w:t xml:space="preserve">securities </w:t>
      </w:r>
      <w:r w:rsidRPr="004004C0">
        <w:rPr>
          <w:rFonts w:asciiTheme="minorHAnsi" w:hAnsiTheme="minorHAnsi" w:cstheme="minorHAnsi"/>
        </w:rPr>
        <w:t xml:space="preserve">using thirty-seconds of a dollar. All other markets </w:t>
      </w:r>
      <w:r w:rsidR="00C6112C" w:rsidRPr="004004C0">
        <w:rPr>
          <w:rFonts w:asciiTheme="minorHAnsi" w:hAnsiTheme="minorHAnsi" w:cstheme="minorHAnsi"/>
        </w:rPr>
        <w:t xml:space="preserve">(foreign and corporate) </w:t>
      </w:r>
      <w:r w:rsidRPr="004004C0">
        <w:rPr>
          <w:rFonts w:asciiTheme="minorHAnsi" w:hAnsiTheme="minorHAnsi" w:cstheme="minorHAnsi"/>
        </w:rPr>
        <w:t>use decimal notation.</w:t>
      </w:r>
    </w:p>
    <w:p w14:paraId="202C50DB" w14:textId="77777777" w:rsidR="004004C0" w:rsidRDefault="004004C0" w:rsidP="004004C0">
      <w:pPr>
        <w:pStyle w:val="NormalWeb"/>
        <w:spacing w:before="0" w:beforeAutospacing="0" w:after="0" w:afterAutospacing="0"/>
        <w:rPr>
          <w:rFonts w:asciiTheme="minorHAnsi" w:hAnsiTheme="minorHAnsi" w:cstheme="minorHAnsi"/>
        </w:rPr>
      </w:pPr>
    </w:p>
    <w:p w14:paraId="5F26B746" w14:textId="77777777" w:rsidR="00E84387" w:rsidRDefault="00E84387" w:rsidP="004004C0">
      <w:pPr>
        <w:pStyle w:val="NormalWeb"/>
        <w:spacing w:before="0" w:beforeAutospacing="0" w:after="0" w:afterAutospacing="0"/>
        <w:rPr>
          <w:rFonts w:asciiTheme="minorHAnsi" w:hAnsiTheme="minorHAnsi" w:cstheme="minorHAnsi"/>
          <w:b/>
        </w:rPr>
      </w:pPr>
      <w:r w:rsidRPr="004004C0">
        <w:rPr>
          <w:rFonts w:asciiTheme="minorHAnsi" w:hAnsiTheme="minorHAnsi" w:cstheme="minorHAnsi"/>
          <w:b/>
        </w:rPr>
        <w:t>German Government Bonds (February 8, 2011)</w:t>
      </w:r>
    </w:p>
    <w:p w14:paraId="6B51F0D6" w14:textId="77777777" w:rsidR="000859D5" w:rsidRPr="004004C0" w:rsidRDefault="000859D5" w:rsidP="004004C0">
      <w:pPr>
        <w:pStyle w:val="NormalWeb"/>
        <w:spacing w:before="0" w:beforeAutospacing="0" w:after="0" w:afterAutospacing="0"/>
        <w:rPr>
          <w:rFonts w:asciiTheme="minorHAnsi" w:hAnsiTheme="minorHAnsi" w:cstheme="minorHAnsi"/>
          <w:b/>
        </w:rPr>
      </w:pPr>
    </w:p>
    <w:p w14:paraId="41913DF9" w14:textId="77777777" w:rsidR="00E84387" w:rsidRPr="009803F4" w:rsidRDefault="00E84387" w:rsidP="000859D5">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ab/>
      </w:r>
      <w:r w:rsidR="00F44F73">
        <w:rPr>
          <w:rFonts w:asciiTheme="minorHAnsi" w:hAnsiTheme="minorHAnsi" w:cstheme="minorHAnsi"/>
          <w:sz w:val="22"/>
          <w:szCs w:val="22"/>
        </w:rPr>
        <w:t xml:space="preserve">    </w:t>
      </w:r>
      <w:r>
        <w:rPr>
          <w:rFonts w:asciiTheme="minorHAnsi" w:hAnsiTheme="minorHAnsi" w:cstheme="minorHAnsi"/>
          <w:sz w:val="22"/>
          <w:szCs w:val="22"/>
        </w:rPr>
        <w:t>Maturity</w:t>
      </w:r>
      <w:r>
        <w:rPr>
          <w:rFonts w:asciiTheme="minorHAnsi" w:hAnsiTheme="minorHAnsi" w:cstheme="minorHAnsi"/>
          <w:sz w:val="22"/>
          <w:szCs w:val="22"/>
        </w:rPr>
        <w:tab/>
        <w:t xml:space="preserve">     </w:t>
      </w:r>
      <w:r w:rsidR="00F44F73">
        <w:rPr>
          <w:rFonts w:asciiTheme="minorHAnsi" w:hAnsiTheme="minorHAnsi" w:cstheme="minorHAnsi"/>
          <w:sz w:val="22"/>
          <w:szCs w:val="22"/>
        </w:rPr>
        <w:t xml:space="preserve">                      </w:t>
      </w:r>
      <w:r>
        <w:rPr>
          <w:rFonts w:asciiTheme="minorHAnsi" w:hAnsiTheme="minorHAnsi" w:cstheme="minorHAnsi"/>
          <w:sz w:val="22"/>
          <w:szCs w:val="22"/>
        </w:rPr>
        <w:t>Coupon</w:t>
      </w:r>
      <w:r>
        <w:rPr>
          <w:rFonts w:asciiTheme="minorHAnsi" w:hAnsiTheme="minorHAnsi" w:cstheme="minorHAnsi"/>
          <w:sz w:val="22"/>
          <w:szCs w:val="22"/>
        </w:rPr>
        <w:tab/>
      </w:r>
      <w:r w:rsidR="00F44F73">
        <w:rPr>
          <w:rFonts w:asciiTheme="minorHAnsi" w:hAnsiTheme="minorHAnsi" w:cstheme="minorHAnsi"/>
          <w:sz w:val="22"/>
          <w:szCs w:val="22"/>
        </w:rPr>
        <w:t xml:space="preserve">        </w:t>
      </w:r>
      <w:r>
        <w:rPr>
          <w:rFonts w:asciiTheme="minorHAnsi" w:hAnsiTheme="minorHAnsi" w:cstheme="minorHAnsi"/>
          <w:sz w:val="22"/>
          <w:szCs w:val="22"/>
        </w:rPr>
        <w:t>Maturity Date</w:t>
      </w:r>
      <w:r>
        <w:rPr>
          <w:rFonts w:asciiTheme="minorHAnsi" w:hAnsiTheme="minorHAnsi" w:cstheme="minorHAnsi"/>
          <w:sz w:val="22"/>
          <w:szCs w:val="22"/>
        </w:rPr>
        <w:tab/>
        <w:t xml:space="preserve">     Current Price/Yield</w:t>
      </w:r>
    </w:p>
    <w:tbl>
      <w:tblPr>
        <w:tblW w:w="4084" w:type="pct"/>
        <w:jc w:val="center"/>
        <w:tblCellSpacing w:w="15" w:type="dxa"/>
        <w:tblCellMar>
          <w:top w:w="30" w:type="dxa"/>
          <w:left w:w="30" w:type="dxa"/>
          <w:bottom w:w="30" w:type="dxa"/>
          <w:right w:w="30" w:type="dxa"/>
        </w:tblCellMar>
        <w:tblLook w:val="04A0" w:firstRow="1" w:lastRow="0" w:firstColumn="1" w:lastColumn="0" w:noHBand="0" w:noVBand="1"/>
      </w:tblPr>
      <w:tblGrid>
        <w:gridCol w:w="2432"/>
        <w:gridCol w:w="1170"/>
        <w:gridCol w:w="1710"/>
        <w:gridCol w:w="2431"/>
      </w:tblGrid>
      <w:tr w:rsidR="00F44F73" w:rsidRPr="00E84387" w14:paraId="6E6262AB" w14:textId="77777777" w:rsidTr="00F44F73">
        <w:trPr>
          <w:tblCellSpacing w:w="15" w:type="dxa"/>
          <w:jc w:val="center"/>
        </w:trPr>
        <w:tc>
          <w:tcPr>
            <w:tcW w:w="1541" w:type="pct"/>
            <w:shd w:val="clear" w:color="auto" w:fill="FFFFFF"/>
            <w:vAlign w:val="center"/>
            <w:hideMark/>
          </w:tcPr>
          <w:p w14:paraId="7C035996" w14:textId="77777777" w:rsidR="00E84387" w:rsidRPr="00F44F73" w:rsidRDefault="00E84387" w:rsidP="00E84387">
            <w:pPr>
              <w:spacing w:after="0" w:line="240" w:lineRule="auto"/>
              <w:rPr>
                <w:rFonts w:ascii="Verdana" w:eastAsia="Times New Roman" w:hAnsi="Verdana" w:cs="Times New Roman"/>
                <w:color w:val="FFFFFF"/>
                <w:sz w:val="20"/>
                <w:szCs w:val="20"/>
              </w:rPr>
            </w:pPr>
            <w:r w:rsidRPr="00F44F73">
              <w:rPr>
                <w:rFonts w:ascii="Verdana" w:eastAsia="Times New Roman" w:hAnsi="Verdana" w:cs="Times New Roman"/>
                <w:bCs/>
                <w:caps/>
                <w:color w:val="000000"/>
                <w:sz w:val="20"/>
                <w:szCs w:val="20"/>
              </w:rPr>
              <w:t>3-Month</w:t>
            </w:r>
          </w:p>
        </w:tc>
        <w:tc>
          <w:tcPr>
            <w:tcW w:w="737" w:type="pct"/>
            <w:shd w:val="clear" w:color="auto" w:fill="FFFFFF"/>
            <w:vAlign w:val="center"/>
            <w:hideMark/>
          </w:tcPr>
          <w:p w14:paraId="2790D16B" w14:textId="77777777" w:rsidR="00E84387" w:rsidRPr="008041E7" w:rsidRDefault="00E84387" w:rsidP="00E84387">
            <w:pPr>
              <w:spacing w:after="0" w:line="240" w:lineRule="auto"/>
              <w:jc w:val="right"/>
              <w:rPr>
                <w:rFonts w:ascii="Verdana" w:eastAsia="Times New Roman" w:hAnsi="Verdana" w:cs="Times New Roman"/>
                <w:color w:val="FFFFFF"/>
                <w:sz w:val="20"/>
                <w:szCs w:val="20"/>
              </w:rPr>
            </w:pPr>
            <w:r w:rsidRPr="008041E7">
              <w:rPr>
                <w:rFonts w:ascii="Verdana" w:eastAsia="Times New Roman" w:hAnsi="Verdana" w:cs="Times New Roman"/>
                <w:color w:val="000000"/>
                <w:sz w:val="20"/>
                <w:szCs w:val="20"/>
              </w:rPr>
              <w:t>0.000</w:t>
            </w:r>
          </w:p>
        </w:tc>
        <w:tc>
          <w:tcPr>
            <w:tcW w:w="1085" w:type="pct"/>
            <w:shd w:val="clear" w:color="auto" w:fill="FFFFFF"/>
            <w:vAlign w:val="center"/>
            <w:hideMark/>
          </w:tcPr>
          <w:p w14:paraId="79BECE82" w14:textId="77777777" w:rsidR="00E84387" w:rsidRPr="008041E7" w:rsidRDefault="00E84387" w:rsidP="00E84387">
            <w:pPr>
              <w:spacing w:after="0" w:line="240" w:lineRule="auto"/>
              <w:jc w:val="right"/>
              <w:rPr>
                <w:rFonts w:ascii="Verdana" w:eastAsia="Times New Roman" w:hAnsi="Verdana" w:cs="Times New Roman"/>
                <w:color w:val="FFFFFF"/>
                <w:sz w:val="20"/>
                <w:szCs w:val="20"/>
              </w:rPr>
            </w:pPr>
            <w:r w:rsidRPr="008041E7">
              <w:rPr>
                <w:rFonts w:ascii="Verdana" w:eastAsia="Times New Roman" w:hAnsi="Verdana" w:cs="Times New Roman"/>
                <w:color w:val="000000"/>
                <w:sz w:val="20"/>
                <w:szCs w:val="20"/>
              </w:rPr>
              <w:t>05/11/2011</w:t>
            </w:r>
          </w:p>
        </w:tc>
        <w:tc>
          <w:tcPr>
            <w:tcW w:w="1541" w:type="pct"/>
            <w:shd w:val="clear" w:color="auto" w:fill="FFFFFF"/>
            <w:vAlign w:val="center"/>
            <w:hideMark/>
          </w:tcPr>
          <w:p w14:paraId="28054CDC" w14:textId="77777777" w:rsidR="00E84387" w:rsidRPr="008041E7" w:rsidRDefault="00E84387" w:rsidP="00E84387">
            <w:pPr>
              <w:spacing w:after="0" w:line="240" w:lineRule="auto"/>
              <w:jc w:val="right"/>
              <w:rPr>
                <w:rFonts w:ascii="Verdana" w:eastAsia="Times New Roman" w:hAnsi="Verdana" w:cs="Times New Roman"/>
                <w:color w:val="FFFFFF"/>
                <w:sz w:val="20"/>
                <w:szCs w:val="20"/>
              </w:rPr>
            </w:pPr>
            <w:r w:rsidRPr="008041E7">
              <w:rPr>
                <w:rFonts w:ascii="Verdana" w:eastAsia="Times New Roman" w:hAnsi="Verdana" w:cs="Times New Roman"/>
                <w:color w:val="000000"/>
                <w:sz w:val="20"/>
                <w:szCs w:val="20"/>
              </w:rPr>
              <w:t>99.84 / .68</w:t>
            </w:r>
          </w:p>
        </w:tc>
      </w:tr>
      <w:tr w:rsidR="00F44F73" w:rsidRPr="00E84387" w14:paraId="201AB8C9" w14:textId="77777777" w:rsidTr="00F44F73">
        <w:trPr>
          <w:tblCellSpacing w:w="15" w:type="dxa"/>
          <w:jc w:val="center"/>
        </w:trPr>
        <w:tc>
          <w:tcPr>
            <w:tcW w:w="1541" w:type="pct"/>
            <w:shd w:val="clear" w:color="auto" w:fill="D2E1E8"/>
            <w:vAlign w:val="center"/>
            <w:hideMark/>
          </w:tcPr>
          <w:p w14:paraId="4F7036A7" w14:textId="77777777" w:rsidR="00E84387" w:rsidRPr="00F44F73" w:rsidRDefault="00E84387" w:rsidP="00E84387">
            <w:pPr>
              <w:spacing w:after="0" w:line="240" w:lineRule="auto"/>
              <w:rPr>
                <w:rFonts w:ascii="Verdana" w:eastAsia="Times New Roman" w:hAnsi="Verdana" w:cs="Times New Roman"/>
                <w:color w:val="FFFFFF"/>
                <w:sz w:val="20"/>
                <w:szCs w:val="20"/>
              </w:rPr>
            </w:pPr>
            <w:r w:rsidRPr="00F44F73">
              <w:rPr>
                <w:rFonts w:ascii="Verdana" w:eastAsia="Times New Roman" w:hAnsi="Verdana" w:cs="Times New Roman"/>
                <w:bCs/>
                <w:caps/>
                <w:color w:val="000000"/>
                <w:sz w:val="20"/>
                <w:szCs w:val="20"/>
              </w:rPr>
              <w:t>6-Month</w:t>
            </w:r>
          </w:p>
        </w:tc>
        <w:tc>
          <w:tcPr>
            <w:tcW w:w="737" w:type="pct"/>
            <w:shd w:val="clear" w:color="auto" w:fill="D2E1E8"/>
            <w:vAlign w:val="center"/>
            <w:hideMark/>
          </w:tcPr>
          <w:p w14:paraId="1EED7A50" w14:textId="77777777" w:rsidR="00E84387" w:rsidRPr="008041E7" w:rsidRDefault="00E84387" w:rsidP="00E84387">
            <w:pPr>
              <w:spacing w:after="0" w:line="240" w:lineRule="auto"/>
              <w:jc w:val="right"/>
              <w:rPr>
                <w:rFonts w:ascii="Verdana" w:eastAsia="Times New Roman" w:hAnsi="Verdana" w:cs="Times New Roman"/>
                <w:color w:val="FFFFFF"/>
                <w:sz w:val="20"/>
                <w:szCs w:val="20"/>
              </w:rPr>
            </w:pPr>
            <w:r w:rsidRPr="008041E7">
              <w:rPr>
                <w:rFonts w:ascii="Verdana" w:eastAsia="Times New Roman" w:hAnsi="Verdana" w:cs="Times New Roman"/>
                <w:color w:val="000000"/>
                <w:sz w:val="20"/>
                <w:szCs w:val="20"/>
              </w:rPr>
              <w:t>0.000</w:t>
            </w:r>
          </w:p>
        </w:tc>
        <w:tc>
          <w:tcPr>
            <w:tcW w:w="1085" w:type="pct"/>
            <w:shd w:val="clear" w:color="auto" w:fill="D2E1E8"/>
            <w:vAlign w:val="center"/>
            <w:hideMark/>
          </w:tcPr>
          <w:p w14:paraId="177A1A25" w14:textId="77777777" w:rsidR="00E84387" w:rsidRPr="008041E7" w:rsidRDefault="00E84387" w:rsidP="00E84387">
            <w:pPr>
              <w:spacing w:after="0" w:line="240" w:lineRule="auto"/>
              <w:jc w:val="right"/>
              <w:rPr>
                <w:rFonts w:ascii="Verdana" w:eastAsia="Times New Roman" w:hAnsi="Verdana" w:cs="Times New Roman"/>
                <w:color w:val="FFFFFF"/>
                <w:sz w:val="20"/>
                <w:szCs w:val="20"/>
              </w:rPr>
            </w:pPr>
            <w:r w:rsidRPr="008041E7">
              <w:rPr>
                <w:rFonts w:ascii="Verdana" w:eastAsia="Times New Roman" w:hAnsi="Verdana" w:cs="Times New Roman"/>
                <w:color w:val="000000"/>
                <w:sz w:val="20"/>
                <w:szCs w:val="20"/>
              </w:rPr>
              <w:t>08/10/2011</w:t>
            </w:r>
          </w:p>
        </w:tc>
        <w:tc>
          <w:tcPr>
            <w:tcW w:w="1541" w:type="pct"/>
            <w:shd w:val="clear" w:color="auto" w:fill="D2E1E8"/>
            <w:vAlign w:val="center"/>
            <w:hideMark/>
          </w:tcPr>
          <w:p w14:paraId="4249B111" w14:textId="77777777" w:rsidR="00E84387" w:rsidRPr="008041E7" w:rsidRDefault="00E84387" w:rsidP="00E84387">
            <w:pPr>
              <w:spacing w:after="0" w:line="240" w:lineRule="auto"/>
              <w:jc w:val="right"/>
              <w:rPr>
                <w:rFonts w:ascii="Verdana" w:eastAsia="Times New Roman" w:hAnsi="Verdana" w:cs="Times New Roman"/>
                <w:color w:val="FFFFFF"/>
                <w:sz w:val="20"/>
                <w:szCs w:val="20"/>
              </w:rPr>
            </w:pPr>
            <w:r w:rsidRPr="008041E7">
              <w:rPr>
                <w:rFonts w:ascii="Verdana" w:eastAsia="Times New Roman" w:hAnsi="Verdana" w:cs="Times New Roman"/>
                <w:color w:val="000000"/>
                <w:sz w:val="20"/>
                <w:szCs w:val="20"/>
              </w:rPr>
              <w:t>99.6 / .80</w:t>
            </w:r>
          </w:p>
        </w:tc>
      </w:tr>
      <w:tr w:rsidR="00F44F73" w:rsidRPr="00E84387" w14:paraId="2904BF81" w14:textId="77777777" w:rsidTr="00F44F73">
        <w:trPr>
          <w:tblCellSpacing w:w="15" w:type="dxa"/>
          <w:jc w:val="center"/>
        </w:trPr>
        <w:tc>
          <w:tcPr>
            <w:tcW w:w="1541" w:type="pct"/>
            <w:shd w:val="clear" w:color="auto" w:fill="FFFFFF"/>
            <w:vAlign w:val="center"/>
            <w:hideMark/>
          </w:tcPr>
          <w:p w14:paraId="3C2FC82B" w14:textId="77777777" w:rsidR="00E84387" w:rsidRPr="00F44F73" w:rsidRDefault="00E84387" w:rsidP="00E84387">
            <w:pPr>
              <w:spacing w:after="0" w:line="240" w:lineRule="auto"/>
              <w:rPr>
                <w:rFonts w:ascii="Verdana" w:eastAsia="Times New Roman" w:hAnsi="Verdana" w:cs="Times New Roman"/>
                <w:color w:val="FFFFFF"/>
                <w:sz w:val="20"/>
                <w:szCs w:val="20"/>
              </w:rPr>
            </w:pPr>
            <w:r w:rsidRPr="00F44F73">
              <w:rPr>
                <w:rFonts w:ascii="Verdana" w:eastAsia="Times New Roman" w:hAnsi="Verdana" w:cs="Times New Roman"/>
                <w:bCs/>
                <w:caps/>
                <w:color w:val="000000"/>
                <w:sz w:val="20"/>
                <w:szCs w:val="20"/>
              </w:rPr>
              <w:t>1-Year</w:t>
            </w:r>
          </w:p>
        </w:tc>
        <w:tc>
          <w:tcPr>
            <w:tcW w:w="737" w:type="pct"/>
            <w:shd w:val="clear" w:color="auto" w:fill="FFFFFF"/>
            <w:vAlign w:val="center"/>
            <w:hideMark/>
          </w:tcPr>
          <w:p w14:paraId="101EE899" w14:textId="77777777" w:rsidR="00E84387" w:rsidRPr="008041E7" w:rsidRDefault="00E84387" w:rsidP="00E84387">
            <w:pPr>
              <w:spacing w:after="0" w:line="240" w:lineRule="auto"/>
              <w:jc w:val="right"/>
              <w:rPr>
                <w:rFonts w:ascii="Verdana" w:eastAsia="Times New Roman" w:hAnsi="Verdana" w:cs="Times New Roman"/>
                <w:color w:val="FFFFFF"/>
                <w:sz w:val="20"/>
                <w:szCs w:val="20"/>
              </w:rPr>
            </w:pPr>
            <w:r w:rsidRPr="008041E7">
              <w:rPr>
                <w:rFonts w:ascii="Verdana" w:eastAsia="Times New Roman" w:hAnsi="Verdana" w:cs="Times New Roman"/>
                <w:color w:val="000000"/>
                <w:sz w:val="20"/>
                <w:szCs w:val="20"/>
              </w:rPr>
              <w:t>1.250</w:t>
            </w:r>
          </w:p>
        </w:tc>
        <w:tc>
          <w:tcPr>
            <w:tcW w:w="1085" w:type="pct"/>
            <w:shd w:val="clear" w:color="auto" w:fill="FFFFFF"/>
            <w:vAlign w:val="center"/>
            <w:hideMark/>
          </w:tcPr>
          <w:p w14:paraId="0CCDFA4B" w14:textId="77777777" w:rsidR="00E84387" w:rsidRPr="008041E7" w:rsidRDefault="00E84387" w:rsidP="00E84387">
            <w:pPr>
              <w:spacing w:after="0" w:line="240" w:lineRule="auto"/>
              <w:jc w:val="right"/>
              <w:rPr>
                <w:rFonts w:ascii="Verdana" w:eastAsia="Times New Roman" w:hAnsi="Verdana" w:cs="Times New Roman"/>
                <w:color w:val="FFFFFF"/>
                <w:sz w:val="20"/>
                <w:szCs w:val="20"/>
              </w:rPr>
            </w:pPr>
            <w:r w:rsidRPr="008041E7">
              <w:rPr>
                <w:rFonts w:ascii="Verdana" w:eastAsia="Times New Roman" w:hAnsi="Verdana" w:cs="Times New Roman"/>
                <w:color w:val="000000"/>
                <w:sz w:val="20"/>
                <w:szCs w:val="20"/>
              </w:rPr>
              <w:t>12/16/2011</w:t>
            </w:r>
          </w:p>
        </w:tc>
        <w:tc>
          <w:tcPr>
            <w:tcW w:w="1541" w:type="pct"/>
            <w:shd w:val="clear" w:color="auto" w:fill="FFFFFF"/>
            <w:vAlign w:val="center"/>
            <w:hideMark/>
          </w:tcPr>
          <w:p w14:paraId="5507D860" w14:textId="77777777" w:rsidR="00E84387" w:rsidRPr="008041E7" w:rsidRDefault="00E84387" w:rsidP="00E84387">
            <w:pPr>
              <w:spacing w:after="0" w:line="240" w:lineRule="auto"/>
              <w:jc w:val="right"/>
              <w:rPr>
                <w:rFonts w:ascii="Verdana" w:eastAsia="Times New Roman" w:hAnsi="Verdana" w:cs="Times New Roman"/>
                <w:color w:val="FFFFFF"/>
                <w:sz w:val="20"/>
                <w:szCs w:val="20"/>
              </w:rPr>
            </w:pPr>
            <w:r w:rsidRPr="008041E7">
              <w:rPr>
                <w:rFonts w:ascii="Verdana" w:eastAsia="Times New Roman" w:hAnsi="Verdana" w:cs="Times New Roman"/>
                <w:color w:val="000000"/>
                <w:sz w:val="20"/>
                <w:szCs w:val="20"/>
              </w:rPr>
              <w:t>100.19 / 1.03</w:t>
            </w:r>
          </w:p>
        </w:tc>
      </w:tr>
      <w:tr w:rsidR="00F44F73" w:rsidRPr="00E84387" w14:paraId="505548F3" w14:textId="77777777" w:rsidTr="00F44F73">
        <w:trPr>
          <w:tblCellSpacing w:w="15" w:type="dxa"/>
          <w:jc w:val="center"/>
        </w:trPr>
        <w:tc>
          <w:tcPr>
            <w:tcW w:w="1541" w:type="pct"/>
            <w:shd w:val="clear" w:color="auto" w:fill="D2E1E8"/>
            <w:vAlign w:val="center"/>
            <w:hideMark/>
          </w:tcPr>
          <w:p w14:paraId="36338F88" w14:textId="77777777" w:rsidR="00E84387" w:rsidRPr="00F44F73" w:rsidRDefault="00E84387" w:rsidP="00E84387">
            <w:pPr>
              <w:spacing w:after="0" w:line="240" w:lineRule="auto"/>
              <w:rPr>
                <w:rFonts w:ascii="Verdana" w:eastAsia="Times New Roman" w:hAnsi="Verdana" w:cs="Times New Roman"/>
                <w:color w:val="FFFFFF"/>
                <w:sz w:val="20"/>
                <w:szCs w:val="20"/>
              </w:rPr>
            </w:pPr>
            <w:r w:rsidRPr="00F44F73">
              <w:rPr>
                <w:rFonts w:ascii="Verdana" w:eastAsia="Times New Roman" w:hAnsi="Verdana" w:cs="Times New Roman"/>
                <w:bCs/>
                <w:caps/>
                <w:color w:val="000000"/>
                <w:sz w:val="20"/>
                <w:szCs w:val="20"/>
              </w:rPr>
              <w:t>2-Year</w:t>
            </w:r>
          </w:p>
        </w:tc>
        <w:tc>
          <w:tcPr>
            <w:tcW w:w="737" w:type="pct"/>
            <w:shd w:val="clear" w:color="auto" w:fill="D2E1E8"/>
            <w:vAlign w:val="center"/>
            <w:hideMark/>
          </w:tcPr>
          <w:p w14:paraId="73161BCF" w14:textId="77777777" w:rsidR="00E84387" w:rsidRPr="008041E7" w:rsidRDefault="00E84387" w:rsidP="00E84387">
            <w:pPr>
              <w:spacing w:after="0" w:line="240" w:lineRule="auto"/>
              <w:jc w:val="right"/>
              <w:rPr>
                <w:rFonts w:ascii="Verdana" w:eastAsia="Times New Roman" w:hAnsi="Verdana" w:cs="Times New Roman"/>
                <w:color w:val="FFFFFF"/>
                <w:sz w:val="20"/>
                <w:szCs w:val="20"/>
              </w:rPr>
            </w:pPr>
            <w:r w:rsidRPr="008041E7">
              <w:rPr>
                <w:rFonts w:ascii="Verdana" w:eastAsia="Times New Roman" w:hAnsi="Verdana" w:cs="Times New Roman"/>
                <w:color w:val="000000"/>
                <w:sz w:val="20"/>
                <w:szCs w:val="20"/>
              </w:rPr>
              <w:t>1.000</w:t>
            </w:r>
          </w:p>
        </w:tc>
        <w:tc>
          <w:tcPr>
            <w:tcW w:w="1085" w:type="pct"/>
            <w:shd w:val="clear" w:color="auto" w:fill="D2E1E8"/>
            <w:vAlign w:val="center"/>
            <w:hideMark/>
          </w:tcPr>
          <w:p w14:paraId="3235D860" w14:textId="77777777" w:rsidR="00E84387" w:rsidRPr="008041E7" w:rsidRDefault="00E84387" w:rsidP="00E84387">
            <w:pPr>
              <w:spacing w:after="0" w:line="240" w:lineRule="auto"/>
              <w:jc w:val="right"/>
              <w:rPr>
                <w:rFonts w:ascii="Verdana" w:eastAsia="Times New Roman" w:hAnsi="Verdana" w:cs="Times New Roman"/>
                <w:color w:val="FFFFFF"/>
                <w:sz w:val="20"/>
                <w:szCs w:val="20"/>
              </w:rPr>
            </w:pPr>
            <w:r w:rsidRPr="008041E7">
              <w:rPr>
                <w:rFonts w:ascii="Verdana" w:eastAsia="Times New Roman" w:hAnsi="Verdana" w:cs="Times New Roman"/>
                <w:color w:val="000000"/>
                <w:sz w:val="20"/>
                <w:szCs w:val="20"/>
              </w:rPr>
              <w:t>12/14/2012</w:t>
            </w:r>
          </w:p>
        </w:tc>
        <w:tc>
          <w:tcPr>
            <w:tcW w:w="1541" w:type="pct"/>
            <w:shd w:val="clear" w:color="auto" w:fill="D2E1E8"/>
            <w:vAlign w:val="center"/>
            <w:hideMark/>
          </w:tcPr>
          <w:p w14:paraId="56BA9E3C" w14:textId="77777777" w:rsidR="00E84387" w:rsidRPr="008041E7" w:rsidRDefault="00E84387" w:rsidP="00E84387">
            <w:pPr>
              <w:spacing w:after="0" w:line="240" w:lineRule="auto"/>
              <w:jc w:val="right"/>
              <w:rPr>
                <w:rFonts w:ascii="Verdana" w:eastAsia="Times New Roman" w:hAnsi="Verdana" w:cs="Times New Roman"/>
                <w:color w:val="FFFFFF"/>
                <w:sz w:val="20"/>
                <w:szCs w:val="20"/>
              </w:rPr>
            </w:pPr>
            <w:r w:rsidRPr="008041E7">
              <w:rPr>
                <w:rFonts w:ascii="Verdana" w:eastAsia="Times New Roman" w:hAnsi="Verdana" w:cs="Times New Roman"/>
                <w:color w:val="000000"/>
                <w:sz w:val="20"/>
                <w:szCs w:val="20"/>
              </w:rPr>
              <w:t>99.22 / 1.44</w:t>
            </w:r>
          </w:p>
        </w:tc>
      </w:tr>
    </w:tbl>
    <w:p w14:paraId="72DC745B" w14:textId="77777777" w:rsidR="00E84387" w:rsidRPr="004004C0" w:rsidRDefault="00E84387" w:rsidP="004004C0">
      <w:pPr>
        <w:spacing w:after="0" w:line="240" w:lineRule="auto"/>
        <w:rPr>
          <w:sz w:val="24"/>
          <w:szCs w:val="24"/>
        </w:rPr>
      </w:pPr>
      <w:r w:rsidRPr="004004C0">
        <w:rPr>
          <w:sz w:val="24"/>
          <w:szCs w:val="24"/>
        </w:rPr>
        <w:t xml:space="preserve">The above quotes for </w:t>
      </w:r>
      <w:r w:rsidR="00535265" w:rsidRPr="004004C0">
        <w:rPr>
          <w:sz w:val="24"/>
          <w:szCs w:val="24"/>
        </w:rPr>
        <w:t xml:space="preserve">German government bonds </w:t>
      </w:r>
      <w:r w:rsidRPr="004004C0">
        <w:rPr>
          <w:sz w:val="24"/>
          <w:szCs w:val="24"/>
        </w:rPr>
        <w:t xml:space="preserve">are priced in decimal form as a percent of par value.  Thus, the 1 year is 100.19% of par, or </w:t>
      </w:r>
      <w:r w:rsidRPr="004004C0">
        <w:rPr>
          <w:rFonts w:cstheme="minorHAnsi"/>
          <w:sz w:val="24"/>
          <w:szCs w:val="24"/>
        </w:rPr>
        <w:t>€</w:t>
      </w:r>
      <w:r w:rsidRPr="004004C0">
        <w:rPr>
          <w:sz w:val="24"/>
          <w:szCs w:val="24"/>
        </w:rPr>
        <w:t xml:space="preserve">100.19 and the 1 year 99.22% of par or </w:t>
      </w:r>
      <w:r w:rsidR="00535265" w:rsidRPr="004004C0">
        <w:rPr>
          <w:rFonts w:cstheme="minorHAnsi"/>
          <w:sz w:val="24"/>
          <w:szCs w:val="24"/>
        </w:rPr>
        <w:t>€</w:t>
      </w:r>
      <w:r w:rsidR="00535265" w:rsidRPr="004004C0">
        <w:rPr>
          <w:sz w:val="24"/>
          <w:szCs w:val="24"/>
        </w:rPr>
        <w:t>99.22 (Note: German Government bonds have a</w:t>
      </w:r>
      <w:r w:rsidR="004004C0" w:rsidRPr="004004C0">
        <w:rPr>
          <w:sz w:val="24"/>
          <w:szCs w:val="24"/>
        </w:rPr>
        <w:t xml:space="preserve"> minimum </w:t>
      </w:r>
      <w:r w:rsidR="00535265" w:rsidRPr="004004C0">
        <w:rPr>
          <w:sz w:val="24"/>
          <w:szCs w:val="24"/>
        </w:rPr>
        <w:t xml:space="preserve">par value of </w:t>
      </w:r>
      <w:r w:rsidR="00535265" w:rsidRPr="004004C0">
        <w:rPr>
          <w:rFonts w:cstheme="minorHAnsi"/>
          <w:sz w:val="24"/>
          <w:szCs w:val="24"/>
        </w:rPr>
        <w:t>€</w:t>
      </w:r>
      <w:r w:rsidR="00535265" w:rsidRPr="004004C0">
        <w:rPr>
          <w:sz w:val="24"/>
          <w:szCs w:val="24"/>
        </w:rPr>
        <w:t>100).</w:t>
      </w:r>
    </w:p>
    <w:p w14:paraId="0E68BE59" w14:textId="77777777" w:rsidR="000859D5" w:rsidRDefault="000859D5" w:rsidP="000859D5">
      <w:pPr>
        <w:spacing w:after="0" w:line="240" w:lineRule="auto"/>
      </w:pPr>
    </w:p>
    <w:p w14:paraId="635B1666" w14:textId="77777777" w:rsidR="00FE3E72" w:rsidRDefault="00FE3E72" w:rsidP="004004C0">
      <w:pPr>
        <w:spacing w:after="0" w:line="240" w:lineRule="auto"/>
        <w:rPr>
          <w:sz w:val="24"/>
          <w:szCs w:val="24"/>
        </w:rPr>
      </w:pPr>
      <w:bookmarkStart w:id="0" w:name="_GoBack"/>
      <w:bookmarkEnd w:id="0"/>
    </w:p>
    <w:sectPr w:rsidR="00FE3E7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F105EF" w14:textId="77777777" w:rsidR="00370A0F" w:rsidRDefault="00370A0F" w:rsidP="001D09A9">
      <w:pPr>
        <w:spacing w:after="0" w:line="240" w:lineRule="auto"/>
      </w:pPr>
      <w:r>
        <w:separator/>
      </w:r>
    </w:p>
  </w:endnote>
  <w:endnote w:type="continuationSeparator" w:id="0">
    <w:p w14:paraId="3633BE80" w14:textId="77777777" w:rsidR="00370A0F" w:rsidRDefault="00370A0F" w:rsidP="001D0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7241175"/>
      <w:docPartObj>
        <w:docPartGallery w:val="Page Numbers (Bottom of Page)"/>
        <w:docPartUnique/>
      </w:docPartObj>
    </w:sdtPr>
    <w:sdtEndPr/>
    <w:sdtContent>
      <w:p w14:paraId="59760BA3" w14:textId="77777777" w:rsidR="001D09A9" w:rsidRDefault="001D09A9">
        <w:pPr>
          <w:pStyle w:val="Footer"/>
          <w:jc w:val="right"/>
        </w:pPr>
        <w:r>
          <w:t xml:space="preserve">Page | </w:t>
        </w:r>
        <w:r>
          <w:fldChar w:fldCharType="begin"/>
        </w:r>
        <w:r>
          <w:instrText xml:space="preserve"> PAGE   \* MERGEFORMAT </w:instrText>
        </w:r>
        <w:r>
          <w:fldChar w:fldCharType="separate"/>
        </w:r>
        <w:r w:rsidR="00D97436">
          <w:rPr>
            <w:noProof/>
          </w:rPr>
          <w:t>1</w:t>
        </w:r>
        <w:r>
          <w:rPr>
            <w:noProof/>
          </w:rPr>
          <w:fldChar w:fldCharType="end"/>
        </w:r>
        <w:r>
          <w:t xml:space="preserve"> </w:t>
        </w:r>
      </w:p>
    </w:sdtContent>
  </w:sdt>
  <w:p w14:paraId="20A95E08" w14:textId="77777777" w:rsidR="001D09A9" w:rsidRDefault="001D09A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75C2E7" w14:textId="77777777" w:rsidR="00370A0F" w:rsidRDefault="00370A0F" w:rsidP="001D09A9">
      <w:pPr>
        <w:spacing w:after="0" w:line="240" w:lineRule="auto"/>
      </w:pPr>
      <w:r>
        <w:separator/>
      </w:r>
    </w:p>
  </w:footnote>
  <w:footnote w:type="continuationSeparator" w:id="0">
    <w:p w14:paraId="304C18FB" w14:textId="77777777" w:rsidR="00370A0F" w:rsidRDefault="00370A0F" w:rsidP="001D09A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1C18C0"/>
    <w:multiLevelType w:val="multilevel"/>
    <w:tmpl w:val="8A183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5EC"/>
    <w:rsid w:val="00005125"/>
    <w:rsid w:val="00085358"/>
    <w:rsid w:val="000859D5"/>
    <w:rsid w:val="00161FFE"/>
    <w:rsid w:val="00170EB1"/>
    <w:rsid w:val="001D09A9"/>
    <w:rsid w:val="00272A02"/>
    <w:rsid w:val="002F72AC"/>
    <w:rsid w:val="00370A0F"/>
    <w:rsid w:val="003F7DF4"/>
    <w:rsid w:val="004004C0"/>
    <w:rsid w:val="00426C0B"/>
    <w:rsid w:val="004954D0"/>
    <w:rsid w:val="00535265"/>
    <w:rsid w:val="00585C8F"/>
    <w:rsid w:val="006245C5"/>
    <w:rsid w:val="006414EF"/>
    <w:rsid w:val="00660179"/>
    <w:rsid w:val="00677DED"/>
    <w:rsid w:val="007215B9"/>
    <w:rsid w:val="007822B4"/>
    <w:rsid w:val="007D071A"/>
    <w:rsid w:val="008041E7"/>
    <w:rsid w:val="008954C8"/>
    <w:rsid w:val="008A556F"/>
    <w:rsid w:val="008E42F7"/>
    <w:rsid w:val="009716E3"/>
    <w:rsid w:val="009803F4"/>
    <w:rsid w:val="009E396C"/>
    <w:rsid w:val="00AC3367"/>
    <w:rsid w:val="00AD4B82"/>
    <w:rsid w:val="00BD4260"/>
    <w:rsid w:val="00BD71EA"/>
    <w:rsid w:val="00C12930"/>
    <w:rsid w:val="00C6112C"/>
    <w:rsid w:val="00C847A7"/>
    <w:rsid w:val="00CF75EC"/>
    <w:rsid w:val="00D97436"/>
    <w:rsid w:val="00DA7A5A"/>
    <w:rsid w:val="00E3557E"/>
    <w:rsid w:val="00E61A08"/>
    <w:rsid w:val="00E84387"/>
    <w:rsid w:val="00E91A7D"/>
    <w:rsid w:val="00EF1997"/>
    <w:rsid w:val="00F44F73"/>
    <w:rsid w:val="00F918ED"/>
    <w:rsid w:val="00FC1B21"/>
    <w:rsid w:val="00FE3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3583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75EC"/>
    <w:rPr>
      <w:color w:val="0000FF" w:themeColor="hyperlink"/>
      <w:u w:val="single"/>
    </w:rPr>
  </w:style>
  <w:style w:type="paragraph" w:styleId="BalloonText">
    <w:name w:val="Balloon Text"/>
    <w:basedOn w:val="Normal"/>
    <w:link w:val="BalloonTextChar"/>
    <w:uiPriority w:val="99"/>
    <w:semiHidden/>
    <w:unhideWhenUsed/>
    <w:rsid w:val="00CF75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75EC"/>
    <w:rPr>
      <w:rFonts w:ascii="Tahoma" w:hAnsi="Tahoma" w:cs="Tahoma"/>
      <w:sz w:val="16"/>
      <w:szCs w:val="16"/>
    </w:rPr>
  </w:style>
  <w:style w:type="paragraph" w:styleId="NormalWeb">
    <w:name w:val="Normal (Web)"/>
    <w:basedOn w:val="Normal"/>
    <w:uiPriority w:val="99"/>
    <w:semiHidden/>
    <w:unhideWhenUsed/>
    <w:rsid w:val="009803F4"/>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itxtrst">
    <w:name w:val="itxtrst"/>
    <w:basedOn w:val="DefaultParagraphFont"/>
    <w:rsid w:val="007822B4"/>
  </w:style>
  <w:style w:type="paragraph" w:styleId="Header">
    <w:name w:val="header"/>
    <w:basedOn w:val="Normal"/>
    <w:link w:val="HeaderChar"/>
    <w:uiPriority w:val="99"/>
    <w:unhideWhenUsed/>
    <w:rsid w:val="001D09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09A9"/>
  </w:style>
  <w:style w:type="paragraph" w:styleId="Footer">
    <w:name w:val="footer"/>
    <w:basedOn w:val="Normal"/>
    <w:link w:val="FooterChar"/>
    <w:uiPriority w:val="99"/>
    <w:unhideWhenUsed/>
    <w:rsid w:val="001D09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9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090649">
      <w:bodyDiv w:val="1"/>
      <w:marLeft w:val="0"/>
      <w:marRight w:val="0"/>
      <w:marTop w:val="0"/>
      <w:marBottom w:val="0"/>
      <w:divBdr>
        <w:top w:val="none" w:sz="0" w:space="0" w:color="auto"/>
        <w:left w:val="none" w:sz="0" w:space="0" w:color="auto"/>
        <w:bottom w:val="none" w:sz="0" w:space="0" w:color="auto"/>
        <w:right w:val="none" w:sz="0" w:space="0" w:color="auto"/>
      </w:divBdr>
      <w:divsChild>
        <w:div w:id="465703874">
          <w:marLeft w:val="0"/>
          <w:marRight w:val="0"/>
          <w:marTop w:val="0"/>
          <w:marBottom w:val="0"/>
          <w:divBdr>
            <w:top w:val="none" w:sz="0" w:space="0" w:color="auto"/>
            <w:left w:val="none" w:sz="0" w:space="0" w:color="auto"/>
            <w:bottom w:val="none" w:sz="0" w:space="0" w:color="auto"/>
            <w:right w:val="none" w:sz="0" w:space="0" w:color="auto"/>
          </w:divBdr>
          <w:divsChild>
            <w:div w:id="1222669311">
              <w:marLeft w:val="0"/>
              <w:marRight w:val="0"/>
              <w:marTop w:val="0"/>
              <w:marBottom w:val="0"/>
              <w:divBdr>
                <w:top w:val="none" w:sz="0" w:space="0" w:color="auto"/>
                <w:left w:val="none" w:sz="0" w:space="0" w:color="auto"/>
                <w:bottom w:val="none" w:sz="0" w:space="0" w:color="auto"/>
                <w:right w:val="none" w:sz="0" w:space="0" w:color="auto"/>
              </w:divBdr>
              <w:divsChild>
                <w:div w:id="11253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788322">
      <w:bodyDiv w:val="1"/>
      <w:marLeft w:val="0"/>
      <w:marRight w:val="0"/>
      <w:marTop w:val="0"/>
      <w:marBottom w:val="0"/>
      <w:divBdr>
        <w:top w:val="none" w:sz="0" w:space="0" w:color="auto"/>
        <w:left w:val="none" w:sz="0" w:space="0" w:color="auto"/>
        <w:bottom w:val="none" w:sz="0" w:space="0" w:color="auto"/>
        <w:right w:val="none" w:sz="0" w:space="0" w:color="auto"/>
      </w:divBdr>
      <w:divsChild>
        <w:div w:id="120543135">
          <w:marLeft w:val="0"/>
          <w:marRight w:val="0"/>
          <w:marTop w:val="0"/>
          <w:marBottom w:val="0"/>
          <w:divBdr>
            <w:top w:val="none" w:sz="0" w:space="0" w:color="auto"/>
            <w:left w:val="none" w:sz="0" w:space="0" w:color="auto"/>
            <w:bottom w:val="none" w:sz="0" w:space="0" w:color="auto"/>
            <w:right w:val="single" w:sz="6" w:space="0" w:color="959595"/>
          </w:divBdr>
          <w:divsChild>
            <w:div w:id="656737095">
              <w:marLeft w:val="0"/>
              <w:marRight w:val="0"/>
              <w:marTop w:val="0"/>
              <w:marBottom w:val="0"/>
              <w:divBdr>
                <w:top w:val="none" w:sz="0" w:space="0" w:color="auto"/>
                <w:left w:val="none" w:sz="0" w:space="0" w:color="auto"/>
                <w:bottom w:val="none" w:sz="0" w:space="0" w:color="auto"/>
                <w:right w:val="none" w:sz="0" w:space="0" w:color="auto"/>
              </w:divBdr>
              <w:divsChild>
                <w:div w:id="1235314700">
                  <w:marLeft w:val="75"/>
                  <w:marRight w:val="0"/>
                  <w:marTop w:val="0"/>
                  <w:marBottom w:val="0"/>
                  <w:divBdr>
                    <w:top w:val="none" w:sz="0" w:space="0" w:color="auto"/>
                    <w:left w:val="none" w:sz="0" w:space="0" w:color="auto"/>
                    <w:bottom w:val="none" w:sz="0" w:space="0" w:color="auto"/>
                    <w:right w:val="none" w:sz="0" w:space="0" w:color="auto"/>
                  </w:divBdr>
                  <w:divsChild>
                    <w:div w:id="158737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965689">
      <w:bodyDiv w:val="1"/>
      <w:marLeft w:val="0"/>
      <w:marRight w:val="0"/>
      <w:marTop w:val="0"/>
      <w:marBottom w:val="0"/>
      <w:divBdr>
        <w:top w:val="none" w:sz="0" w:space="0" w:color="auto"/>
        <w:left w:val="none" w:sz="0" w:space="0" w:color="auto"/>
        <w:bottom w:val="none" w:sz="0" w:space="0" w:color="auto"/>
        <w:right w:val="none" w:sz="0" w:space="0" w:color="auto"/>
      </w:divBdr>
      <w:divsChild>
        <w:div w:id="465241816">
          <w:marLeft w:val="0"/>
          <w:marRight w:val="0"/>
          <w:marTop w:val="0"/>
          <w:marBottom w:val="0"/>
          <w:divBdr>
            <w:top w:val="none" w:sz="0" w:space="0" w:color="auto"/>
            <w:left w:val="none" w:sz="0" w:space="0" w:color="auto"/>
            <w:bottom w:val="none" w:sz="0" w:space="0" w:color="auto"/>
            <w:right w:val="single" w:sz="6" w:space="0" w:color="959595"/>
          </w:divBdr>
          <w:divsChild>
            <w:div w:id="25957803">
              <w:marLeft w:val="0"/>
              <w:marRight w:val="0"/>
              <w:marTop w:val="0"/>
              <w:marBottom w:val="0"/>
              <w:divBdr>
                <w:top w:val="none" w:sz="0" w:space="0" w:color="auto"/>
                <w:left w:val="none" w:sz="0" w:space="0" w:color="auto"/>
                <w:bottom w:val="none" w:sz="0" w:space="0" w:color="auto"/>
                <w:right w:val="none" w:sz="0" w:space="0" w:color="auto"/>
              </w:divBdr>
              <w:divsChild>
                <w:div w:id="1495143681">
                  <w:marLeft w:val="75"/>
                  <w:marRight w:val="0"/>
                  <w:marTop w:val="0"/>
                  <w:marBottom w:val="0"/>
                  <w:divBdr>
                    <w:top w:val="none" w:sz="0" w:space="0" w:color="auto"/>
                    <w:left w:val="none" w:sz="0" w:space="0" w:color="auto"/>
                    <w:bottom w:val="none" w:sz="0" w:space="0" w:color="auto"/>
                    <w:right w:val="none" w:sz="0" w:space="0" w:color="auto"/>
                  </w:divBdr>
                  <w:divsChild>
                    <w:div w:id="210044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709394">
      <w:bodyDiv w:val="1"/>
      <w:marLeft w:val="0"/>
      <w:marRight w:val="0"/>
      <w:marTop w:val="0"/>
      <w:marBottom w:val="0"/>
      <w:divBdr>
        <w:top w:val="none" w:sz="0" w:space="0" w:color="auto"/>
        <w:left w:val="none" w:sz="0" w:space="0" w:color="auto"/>
        <w:bottom w:val="none" w:sz="0" w:space="0" w:color="auto"/>
        <w:right w:val="none" w:sz="0" w:space="0" w:color="auto"/>
      </w:divBdr>
      <w:divsChild>
        <w:div w:id="903221800">
          <w:marLeft w:val="0"/>
          <w:marRight w:val="0"/>
          <w:marTop w:val="0"/>
          <w:marBottom w:val="0"/>
          <w:divBdr>
            <w:top w:val="none" w:sz="0" w:space="0" w:color="auto"/>
            <w:left w:val="none" w:sz="0" w:space="0" w:color="auto"/>
            <w:bottom w:val="none" w:sz="0" w:space="0" w:color="auto"/>
            <w:right w:val="single" w:sz="6" w:space="0" w:color="959595"/>
          </w:divBdr>
          <w:divsChild>
            <w:div w:id="1395618346">
              <w:marLeft w:val="0"/>
              <w:marRight w:val="0"/>
              <w:marTop w:val="0"/>
              <w:marBottom w:val="0"/>
              <w:divBdr>
                <w:top w:val="none" w:sz="0" w:space="0" w:color="auto"/>
                <w:left w:val="none" w:sz="0" w:space="0" w:color="auto"/>
                <w:bottom w:val="none" w:sz="0" w:space="0" w:color="auto"/>
                <w:right w:val="none" w:sz="0" w:space="0" w:color="auto"/>
              </w:divBdr>
              <w:divsChild>
                <w:div w:id="299579936">
                  <w:marLeft w:val="75"/>
                  <w:marRight w:val="0"/>
                  <w:marTop w:val="0"/>
                  <w:marBottom w:val="0"/>
                  <w:divBdr>
                    <w:top w:val="none" w:sz="0" w:space="0" w:color="auto"/>
                    <w:left w:val="none" w:sz="0" w:space="0" w:color="auto"/>
                    <w:bottom w:val="none" w:sz="0" w:space="0" w:color="auto"/>
                    <w:right w:val="none" w:sz="0" w:space="0" w:color="auto"/>
                  </w:divBdr>
                  <w:divsChild>
                    <w:div w:id="147024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560735">
      <w:bodyDiv w:val="1"/>
      <w:marLeft w:val="0"/>
      <w:marRight w:val="0"/>
      <w:marTop w:val="0"/>
      <w:marBottom w:val="75"/>
      <w:divBdr>
        <w:top w:val="none" w:sz="0" w:space="0" w:color="auto"/>
        <w:left w:val="none" w:sz="0" w:space="0" w:color="auto"/>
        <w:bottom w:val="none" w:sz="0" w:space="0" w:color="auto"/>
        <w:right w:val="none" w:sz="0" w:space="0" w:color="auto"/>
      </w:divBdr>
      <w:divsChild>
        <w:div w:id="2027822735">
          <w:marLeft w:val="0"/>
          <w:marRight w:val="0"/>
          <w:marTop w:val="75"/>
          <w:marBottom w:val="0"/>
          <w:divBdr>
            <w:top w:val="single" w:sz="6" w:space="1" w:color="E1E9F0"/>
            <w:left w:val="single" w:sz="6" w:space="1" w:color="E1E9F0"/>
            <w:bottom w:val="single" w:sz="6" w:space="1" w:color="E1E9F0"/>
            <w:right w:val="single" w:sz="6" w:space="1" w:color="E1E9F0"/>
          </w:divBdr>
          <w:divsChild>
            <w:div w:id="13973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37820">
      <w:bodyDiv w:val="1"/>
      <w:marLeft w:val="0"/>
      <w:marRight w:val="0"/>
      <w:marTop w:val="0"/>
      <w:marBottom w:val="0"/>
      <w:divBdr>
        <w:top w:val="none" w:sz="0" w:space="0" w:color="auto"/>
        <w:left w:val="none" w:sz="0" w:space="0" w:color="auto"/>
        <w:bottom w:val="none" w:sz="0" w:space="0" w:color="auto"/>
        <w:right w:val="none" w:sz="0" w:space="0" w:color="auto"/>
      </w:divBdr>
      <w:divsChild>
        <w:div w:id="1122109852">
          <w:marLeft w:val="0"/>
          <w:marRight w:val="0"/>
          <w:marTop w:val="0"/>
          <w:marBottom w:val="0"/>
          <w:divBdr>
            <w:top w:val="none" w:sz="0" w:space="0" w:color="auto"/>
            <w:left w:val="none" w:sz="0" w:space="0" w:color="auto"/>
            <w:bottom w:val="none" w:sz="0" w:space="0" w:color="auto"/>
            <w:right w:val="single" w:sz="6" w:space="0" w:color="959595"/>
          </w:divBdr>
          <w:divsChild>
            <w:div w:id="1251622636">
              <w:marLeft w:val="0"/>
              <w:marRight w:val="0"/>
              <w:marTop w:val="0"/>
              <w:marBottom w:val="0"/>
              <w:divBdr>
                <w:top w:val="none" w:sz="0" w:space="0" w:color="auto"/>
                <w:left w:val="none" w:sz="0" w:space="0" w:color="auto"/>
                <w:bottom w:val="none" w:sz="0" w:space="0" w:color="auto"/>
                <w:right w:val="none" w:sz="0" w:space="0" w:color="auto"/>
              </w:divBdr>
              <w:divsChild>
                <w:div w:id="1934970891">
                  <w:marLeft w:val="75"/>
                  <w:marRight w:val="0"/>
                  <w:marTop w:val="0"/>
                  <w:marBottom w:val="0"/>
                  <w:divBdr>
                    <w:top w:val="none" w:sz="0" w:space="0" w:color="auto"/>
                    <w:left w:val="none" w:sz="0" w:space="0" w:color="auto"/>
                    <w:bottom w:val="none" w:sz="0" w:space="0" w:color="auto"/>
                    <w:right w:val="none" w:sz="0" w:space="0" w:color="auto"/>
                  </w:divBdr>
                  <w:divsChild>
                    <w:div w:id="20895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017044">
      <w:bodyDiv w:val="1"/>
      <w:marLeft w:val="0"/>
      <w:marRight w:val="0"/>
      <w:marTop w:val="0"/>
      <w:marBottom w:val="0"/>
      <w:divBdr>
        <w:top w:val="none" w:sz="0" w:space="0" w:color="auto"/>
        <w:left w:val="none" w:sz="0" w:space="0" w:color="auto"/>
        <w:bottom w:val="none" w:sz="0" w:space="0" w:color="auto"/>
        <w:right w:val="none" w:sz="0" w:space="0" w:color="auto"/>
      </w:divBdr>
      <w:divsChild>
        <w:div w:id="1992366810">
          <w:marLeft w:val="0"/>
          <w:marRight w:val="0"/>
          <w:marTop w:val="0"/>
          <w:marBottom w:val="0"/>
          <w:divBdr>
            <w:top w:val="none" w:sz="0" w:space="0" w:color="auto"/>
            <w:left w:val="none" w:sz="0" w:space="0" w:color="auto"/>
            <w:bottom w:val="none" w:sz="0" w:space="0" w:color="auto"/>
            <w:right w:val="none" w:sz="0" w:space="0" w:color="auto"/>
          </w:divBdr>
          <w:divsChild>
            <w:div w:id="794640351">
              <w:marLeft w:val="0"/>
              <w:marRight w:val="0"/>
              <w:marTop w:val="0"/>
              <w:marBottom w:val="0"/>
              <w:divBdr>
                <w:top w:val="none" w:sz="0" w:space="0" w:color="auto"/>
                <w:left w:val="none" w:sz="0" w:space="0" w:color="auto"/>
                <w:bottom w:val="none" w:sz="0" w:space="0" w:color="auto"/>
                <w:right w:val="none" w:sz="0" w:space="0" w:color="auto"/>
              </w:divBdr>
              <w:divsChild>
                <w:div w:id="578253323">
                  <w:marLeft w:val="0"/>
                  <w:marRight w:val="0"/>
                  <w:marTop w:val="0"/>
                  <w:marBottom w:val="0"/>
                  <w:divBdr>
                    <w:top w:val="none" w:sz="0" w:space="0" w:color="auto"/>
                    <w:left w:val="none" w:sz="0" w:space="0" w:color="auto"/>
                    <w:bottom w:val="none" w:sz="0" w:space="0" w:color="auto"/>
                    <w:right w:val="none" w:sz="0" w:space="0" w:color="auto"/>
                  </w:divBdr>
                  <w:divsChild>
                    <w:div w:id="1911426957">
                      <w:marLeft w:val="0"/>
                      <w:marRight w:val="0"/>
                      <w:marTop w:val="0"/>
                      <w:marBottom w:val="0"/>
                      <w:divBdr>
                        <w:top w:val="single" w:sz="6" w:space="9" w:color="CCCCCC"/>
                        <w:left w:val="single" w:sz="6" w:space="8" w:color="B49D49"/>
                        <w:bottom w:val="none" w:sz="0" w:space="0" w:color="auto"/>
                        <w:right w:val="single" w:sz="6" w:space="8" w:color="B49D49"/>
                      </w:divBdr>
                    </w:div>
                  </w:divsChild>
                </w:div>
              </w:divsChild>
            </w:div>
          </w:divsChild>
        </w:div>
      </w:divsChild>
    </w:div>
    <w:div w:id="1120077309">
      <w:bodyDiv w:val="1"/>
      <w:marLeft w:val="0"/>
      <w:marRight w:val="0"/>
      <w:marTop w:val="0"/>
      <w:marBottom w:val="0"/>
      <w:divBdr>
        <w:top w:val="none" w:sz="0" w:space="0" w:color="auto"/>
        <w:left w:val="none" w:sz="0" w:space="0" w:color="auto"/>
        <w:bottom w:val="none" w:sz="0" w:space="0" w:color="auto"/>
        <w:right w:val="none" w:sz="0" w:space="0" w:color="auto"/>
      </w:divBdr>
      <w:divsChild>
        <w:div w:id="837576036">
          <w:marLeft w:val="0"/>
          <w:marRight w:val="0"/>
          <w:marTop w:val="0"/>
          <w:marBottom w:val="0"/>
          <w:divBdr>
            <w:top w:val="none" w:sz="0" w:space="0" w:color="auto"/>
            <w:left w:val="none" w:sz="0" w:space="0" w:color="auto"/>
            <w:bottom w:val="none" w:sz="0" w:space="0" w:color="auto"/>
            <w:right w:val="none" w:sz="0" w:space="0" w:color="auto"/>
          </w:divBdr>
          <w:divsChild>
            <w:div w:id="2087142786">
              <w:marLeft w:val="0"/>
              <w:marRight w:val="0"/>
              <w:marTop w:val="0"/>
              <w:marBottom w:val="0"/>
              <w:divBdr>
                <w:top w:val="none" w:sz="0" w:space="0" w:color="auto"/>
                <w:left w:val="none" w:sz="0" w:space="0" w:color="auto"/>
                <w:bottom w:val="none" w:sz="0" w:space="0" w:color="auto"/>
                <w:right w:val="none" w:sz="0" w:space="0" w:color="auto"/>
              </w:divBdr>
              <w:divsChild>
                <w:div w:id="1956600781">
                  <w:marLeft w:val="0"/>
                  <w:marRight w:val="0"/>
                  <w:marTop w:val="0"/>
                  <w:marBottom w:val="0"/>
                  <w:divBdr>
                    <w:top w:val="none" w:sz="0" w:space="0" w:color="auto"/>
                    <w:left w:val="none" w:sz="0" w:space="0" w:color="auto"/>
                    <w:bottom w:val="none" w:sz="0" w:space="0" w:color="auto"/>
                    <w:right w:val="none" w:sz="0" w:space="0" w:color="auto"/>
                  </w:divBdr>
                  <w:divsChild>
                    <w:div w:id="2039770703">
                      <w:marLeft w:val="0"/>
                      <w:marRight w:val="0"/>
                      <w:marTop w:val="0"/>
                      <w:marBottom w:val="0"/>
                      <w:divBdr>
                        <w:top w:val="single" w:sz="6" w:space="9" w:color="CCCCCC"/>
                        <w:left w:val="single" w:sz="6" w:space="8" w:color="B49D49"/>
                        <w:bottom w:val="none" w:sz="0" w:space="0" w:color="auto"/>
                        <w:right w:val="single" w:sz="6" w:space="8" w:color="B49D49"/>
                      </w:divBdr>
                    </w:div>
                  </w:divsChild>
                </w:div>
              </w:divsChild>
            </w:div>
          </w:divsChild>
        </w:div>
      </w:divsChild>
    </w:div>
    <w:div w:id="1240597709">
      <w:bodyDiv w:val="1"/>
      <w:marLeft w:val="0"/>
      <w:marRight w:val="0"/>
      <w:marTop w:val="0"/>
      <w:marBottom w:val="0"/>
      <w:divBdr>
        <w:top w:val="none" w:sz="0" w:space="0" w:color="auto"/>
        <w:left w:val="none" w:sz="0" w:space="0" w:color="auto"/>
        <w:bottom w:val="none" w:sz="0" w:space="0" w:color="auto"/>
        <w:right w:val="none" w:sz="0" w:space="0" w:color="auto"/>
      </w:divBdr>
      <w:divsChild>
        <w:div w:id="176888639">
          <w:marLeft w:val="0"/>
          <w:marRight w:val="0"/>
          <w:marTop w:val="0"/>
          <w:marBottom w:val="0"/>
          <w:divBdr>
            <w:top w:val="none" w:sz="0" w:space="0" w:color="auto"/>
            <w:left w:val="none" w:sz="0" w:space="0" w:color="auto"/>
            <w:bottom w:val="none" w:sz="0" w:space="0" w:color="auto"/>
            <w:right w:val="none" w:sz="0" w:space="0" w:color="auto"/>
          </w:divBdr>
          <w:divsChild>
            <w:div w:id="342627763">
              <w:marLeft w:val="0"/>
              <w:marRight w:val="0"/>
              <w:marTop w:val="0"/>
              <w:marBottom w:val="0"/>
              <w:divBdr>
                <w:top w:val="none" w:sz="0" w:space="0" w:color="auto"/>
                <w:left w:val="none" w:sz="0" w:space="0" w:color="auto"/>
                <w:bottom w:val="none" w:sz="0" w:space="0" w:color="auto"/>
                <w:right w:val="none" w:sz="0" w:space="0" w:color="auto"/>
              </w:divBdr>
              <w:divsChild>
                <w:div w:id="96024754">
                  <w:marLeft w:val="0"/>
                  <w:marRight w:val="0"/>
                  <w:marTop w:val="0"/>
                  <w:marBottom w:val="0"/>
                  <w:divBdr>
                    <w:top w:val="none" w:sz="0" w:space="0" w:color="auto"/>
                    <w:left w:val="none" w:sz="0" w:space="0" w:color="auto"/>
                    <w:bottom w:val="none" w:sz="0" w:space="0" w:color="auto"/>
                    <w:right w:val="none" w:sz="0" w:space="0" w:color="auto"/>
                  </w:divBdr>
                  <w:divsChild>
                    <w:div w:id="38288542">
                      <w:marLeft w:val="0"/>
                      <w:marRight w:val="0"/>
                      <w:marTop w:val="0"/>
                      <w:marBottom w:val="0"/>
                      <w:divBdr>
                        <w:top w:val="none" w:sz="0" w:space="0" w:color="auto"/>
                        <w:left w:val="none" w:sz="0" w:space="0" w:color="auto"/>
                        <w:bottom w:val="none" w:sz="0" w:space="0" w:color="auto"/>
                        <w:right w:val="none" w:sz="0" w:space="0" w:color="auto"/>
                      </w:divBdr>
                      <w:divsChild>
                        <w:div w:id="99834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835411">
      <w:bodyDiv w:val="1"/>
      <w:marLeft w:val="0"/>
      <w:marRight w:val="0"/>
      <w:marTop w:val="0"/>
      <w:marBottom w:val="0"/>
      <w:divBdr>
        <w:top w:val="none" w:sz="0" w:space="0" w:color="auto"/>
        <w:left w:val="none" w:sz="0" w:space="0" w:color="auto"/>
        <w:bottom w:val="none" w:sz="0" w:space="0" w:color="auto"/>
        <w:right w:val="none" w:sz="0" w:space="0" w:color="auto"/>
      </w:divBdr>
      <w:divsChild>
        <w:div w:id="23020728">
          <w:marLeft w:val="0"/>
          <w:marRight w:val="0"/>
          <w:marTop w:val="0"/>
          <w:marBottom w:val="0"/>
          <w:divBdr>
            <w:top w:val="none" w:sz="0" w:space="0" w:color="auto"/>
            <w:left w:val="none" w:sz="0" w:space="0" w:color="auto"/>
            <w:bottom w:val="none" w:sz="0" w:space="0" w:color="auto"/>
            <w:right w:val="none" w:sz="0" w:space="0" w:color="auto"/>
          </w:divBdr>
          <w:divsChild>
            <w:div w:id="795635006">
              <w:marLeft w:val="0"/>
              <w:marRight w:val="0"/>
              <w:marTop w:val="0"/>
              <w:marBottom w:val="0"/>
              <w:divBdr>
                <w:top w:val="none" w:sz="0" w:space="0" w:color="auto"/>
                <w:left w:val="none" w:sz="0" w:space="0" w:color="auto"/>
                <w:bottom w:val="none" w:sz="0" w:space="0" w:color="auto"/>
                <w:right w:val="none" w:sz="0" w:space="0" w:color="auto"/>
              </w:divBdr>
              <w:divsChild>
                <w:div w:id="151958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888497">
      <w:bodyDiv w:val="1"/>
      <w:marLeft w:val="0"/>
      <w:marRight w:val="0"/>
      <w:marTop w:val="0"/>
      <w:marBottom w:val="0"/>
      <w:divBdr>
        <w:top w:val="none" w:sz="0" w:space="0" w:color="auto"/>
        <w:left w:val="none" w:sz="0" w:space="0" w:color="auto"/>
        <w:bottom w:val="none" w:sz="0" w:space="0" w:color="auto"/>
        <w:right w:val="none" w:sz="0" w:space="0" w:color="auto"/>
      </w:divBdr>
      <w:divsChild>
        <w:div w:id="98649095">
          <w:marLeft w:val="0"/>
          <w:marRight w:val="0"/>
          <w:marTop w:val="0"/>
          <w:marBottom w:val="0"/>
          <w:divBdr>
            <w:top w:val="none" w:sz="0" w:space="0" w:color="auto"/>
            <w:left w:val="none" w:sz="0" w:space="0" w:color="auto"/>
            <w:bottom w:val="none" w:sz="0" w:space="0" w:color="auto"/>
            <w:right w:val="single" w:sz="6" w:space="0" w:color="959595"/>
          </w:divBdr>
          <w:divsChild>
            <w:div w:id="1318877702">
              <w:marLeft w:val="0"/>
              <w:marRight w:val="0"/>
              <w:marTop w:val="0"/>
              <w:marBottom w:val="0"/>
              <w:divBdr>
                <w:top w:val="none" w:sz="0" w:space="0" w:color="auto"/>
                <w:left w:val="none" w:sz="0" w:space="0" w:color="auto"/>
                <w:bottom w:val="none" w:sz="0" w:space="0" w:color="auto"/>
                <w:right w:val="none" w:sz="0" w:space="0" w:color="auto"/>
              </w:divBdr>
              <w:divsChild>
                <w:div w:id="1607351956">
                  <w:marLeft w:val="75"/>
                  <w:marRight w:val="0"/>
                  <w:marTop w:val="0"/>
                  <w:marBottom w:val="0"/>
                  <w:divBdr>
                    <w:top w:val="none" w:sz="0" w:space="0" w:color="auto"/>
                    <w:left w:val="none" w:sz="0" w:space="0" w:color="auto"/>
                    <w:bottom w:val="none" w:sz="0" w:space="0" w:color="auto"/>
                    <w:right w:val="none" w:sz="0" w:space="0" w:color="auto"/>
                  </w:divBdr>
                  <w:divsChild>
                    <w:div w:id="406151808">
                      <w:marLeft w:val="0"/>
                      <w:marRight w:val="0"/>
                      <w:marTop w:val="0"/>
                      <w:marBottom w:val="0"/>
                      <w:divBdr>
                        <w:top w:val="none" w:sz="0" w:space="0" w:color="auto"/>
                        <w:left w:val="none" w:sz="0" w:space="0" w:color="auto"/>
                        <w:bottom w:val="none" w:sz="0" w:space="0" w:color="auto"/>
                        <w:right w:val="none" w:sz="0" w:space="0" w:color="auto"/>
                      </w:divBdr>
                    </w:div>
                  </w:divsChild>
                </w:div>
                <w:div w:id="567375938">
                  <w:marLeft w:val="75"/>
                  <w:marRight w:val="0"/>
                  <w:marTop w:val="0"/>
                  <w:marBottom w:val="0"/>
                  <w:divBdr>
                    <w:top w:val="none" w:sz="0" w:space="0" w:color="auto"/>
                    <w:left w:val="none" w:sz="0" w:space="0" w:color="auto"/>
                    <w:bottom w:val="none" w:sz="0" w:space="0" w:color="auto"/>
                    <w:right w:val="none" w:sz="0" w:space="0" w:color="auto"/>
                  </w:divBdr>
                  <w:divsChild>
                    <w:div w:id="157186360">
                      <w:marLeft w:val="0"/>
                      <w:marRight w:val="0"/>
                      <w:marTop w:val="0"/>
                      <w:marBottom w:val="0"/>
                      <w:divBdr>
                        <w:top w:val="none" w:sz="0" w:space="0" w:color="auto"/>
                        <w:left w:val="none" w:sz="0" w:space="0" w:color="auto"/>
                        <w:bottom w:val="none" w:sz="0" w:space="0" w:color="auto"/>
                        <w:right w:val="none" w:sz="0" w:space="0" w:color="auto"/>
                      </w:divBdr>
                    </w:div>
                    <w:div w:id="21662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196812">
      <w:bodyDiv w:val="1"/>
      <w:marLeft w:val="0"/>
      <w:marRight w:val="0"/>
      <w:marTop w:val="180"/>
      <w:marBottom w:val="0"/>
      <w:divBdr>
        <w:top w:val="none" w:sz="0" w:space="0" w:color="auto"/>
        <w:left w:val="none" w:sz="0" w:space="0" w:color="auto"/>
        <w:bottom w:val="none" w:sz="0" w:space="0" w:color="auto"/>
        <w:right w:val="none" w:sz="0" w:space="0" w:color="auto"/>
      </w:divBdr>
      <w:divsChild>
        <w:div w:id="477185579">
          <w:marLeft w:val="0"/>
          <w:marRight w:val="0"/>
          <w:marTop w:val="0"/>
          <w:marBottom w:val="0"/>
          <w:divBdr>
            <w:top w:val="none" w:sz="0" w:space="0" w:color="auto"/>
            <w:left w:val="none" w:sz="0" w:space="0" w:color="auto"/>
            <w:bottom w:val="none" w:sz="0" w:space="0" w:color="auto"/>
            <w:right w:val="none" w:sz="0" w:space="0" w:color="auto"/>
          </w:divBdr>
          <w:divsChild>
            <w:div w:id="1830825989">
              <w:marLeft w:val="0"/>
              <w:marRight w:val="0"/>
              <w:marTop w:val="0"/>
              <w:marBottom w:val="0"/>
              <w:divBdr>
                <w:top w:val="none" w:sz="0" w:space="0" w:color="auto"/>
                <w:left w:val="none" w:sz="0" w:space="0" w:color="auto"/>
                <w:bottom w:val="none" w:sz="0" w:space="0" w:color="auto"/>
                <w:right w:val="none" w:sz="0" w:space="0" w:color="auto"/>
              </w:divBdr>
              <w:divsChild>
                <w:div w:id="1493256306">
                  <w:marLeft w:val="0"/>
                  <w:marRight w:val="0"/>
                  <w:marTop w:val="0"/>
                  <w:marBottom w:val="0"/>
                  <w:divBdr>
                    <w:top w:val="none" w:sz="0" w:space="0" w:color="auto"/>
                    <w:left w:val="none" w:sz="0" w:space="0" w:color="auto"/>
                    <w:bottom w:val="none" w:sz="0" w:space="0" w:color="auto"/>
                    <w:right w:val="none" w:sz="0" w:space="0" w:color="auto"/>
                  </w:divBdr>
                  <w:divsChild>
                    <w:div w:id="2020354113">
                      <w:marLeft w:val="0"/>
                      <w:marRight w:val="0"/>
                      <w:marTop w:val="0"/>
                      <w:marBottom w:val="0"/>
                      <w:divBdr>
                        <w:top w:val="none" w:sz="0" w:space="0" w:color="auto"/>
                        <w:left w:val="none" w:sz="0" w:space="0" w:color="auto"/>
                        <w:bottom w:val="none" w:sz="0" w:space="0" w:color="auto"/>
                        <w:right w:val="none" w:sz="0" w:space="0" w:color="auto"/>
                      </w:divBdr>
                      <w:divsChild>
                        <w:div w:id="720247846">
                          <w:marLeft w:val="0"/>
                          <w:marRight w:val="0"/>
                          <w:marTop w:val="0"/>
                          <w:marBottom w:val="0"/>
                          <w:divBdr>
                            <w:top w:val="none" w:sz="0" w:space="0" w:color="auto"/>
                            <w:left w:val="none" w:sz="0" w:space="0" w:color="auto"/>
                            <w:bottom w:val="none" w:sz="0" w:space="0" w:color="auto"/>
                            <w:right w:val="none" w:sz="0" w:space="0" w:color="auto"/>
                          </w:divBdr>
                          <w:divsChild>
                            <w:div w:id="1073430166">
                              <w:marLeft w:val="0"/>
                              <w:marRight w:val="0"/>
                              <w:marTop w:val="0"/>
                              <w:marBottom w:val="0"/>
                              <w:divBdr>
                                <w:top w:val="none" w:sz="0" w:space="0" w:color="auto"/>
                                <w:left w:val="none" w:sz="0" w:space="0" w:color="auto"/>
                                <w:bottom w:val="none" w:sz="0" w:space="0" w:color="auto"/>
                                <w:right w:val="none" w:sz="0" w:space="0" w:color="auto"/>
                              </w:divBdr>
                              <w:divsChild>
                                <w:div w:id="198419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9761846">
      <w:bodyDiv w:val="1"/>
      <w:marLeft w:val="0"/>
      <w:marRight w:val="0"/>
      <w:marTop w:val="0"/>
      <w:marBottom w:val="0"/>
      <w:divBdr>
        <w:top w:val="none" w:sz="0" w:space="0" w:color="auto"/>
        <w:left w:val="none" w:sz="0" w:space="0" w:color="auto"/>
        <w:bottom w:val="none" w:sz="0" w:space="0" w:color="auto"/>
        <w:right w:val="none" w:sz="0" w:space="0" w:color="auto"/>
      </w:divBdr>
      <w:divsChild>
        <w:div w:id="771389648">
          <w:marLeft w:val="0"/>
          <w:marRight w:val="0"/>
          <w:marTop w:val="0"/>
          <w:marBottom w:val="0"/>
          <w:divBdr>
            <w:top w:val="none" w:sz="0" w:space="0" w:color="auto"/>
            <w:left w:val="none" w:sz="0" w:space="0" w:color="auto"/>
            <w:bottom w:val="none" w:sz="0" w:space="0" w:color="auto"/>
            <w:right w:val="single" w:sz="6" w:space="0" w:color="959595"/>
          </w:divBdr>
          <w:divsChild>
            <w:div w:id="666791003">
              <w:marLeft w:val="0"/>
              <w:marRight w:val="0"/>
              <w:marTop w:val="0"/>
              <w:marBottom w:val="0"/>
              <w:divBdr>
                <w:top w:val="none" w:sz="0" w:space="0" w:color="auto"/>
                <w:left w:val="none" w:sz="0" w:space="0" w:color="auto"/>
                <w:bottom w:val="none" w:sz="0" w:space="0" w:color="auto"/>
                <w:right w:val="none" w:sz="0" w:space="0" w:color="auto"/>
              </w:divBdr>
              <w:divsChild>
                <w:div w:id="1614361367">
                  <w:marLeft w:val="75"/>
                  <w:marRight w:val="0"/>
                  <w:marTop w:val="0"/>
                  <w:marBottom w:val="0"/>
                  <w:divBdr>
                    <w:top w:val="none" w:sz="0" w:space="0" w:color="auto"/>
                    <w:left w:val="none" w:sz="0" w:space="0" w:color="auto"/>
                    <w:bottom w:val="none" w:sz="0" w:space="0" w:color="auto"/>
                    <w:right w:val="none" w:sz="0" w:space="0" w:color="auto"/>
                  </w:divBdr>
                  <w:divsChild>
                    <w:div w:id="148589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064124">
      <w:bodyDiv w:val="1"/>
      <w:marLeft w:val="0"/>
      <w:marRight w:val="0"/>
      <w:marTop w:val="0"/>
      <w:marBottom w:val="0"/>
      <w:divBdr>
        <w:top w:val="none" w:sz="0" w:space="0" w:color="auto"/>
        <w:left w:val="none" w:sz="0" w:space="0" w:color="auto"/>
        <w:bottom w:val="none" w:sz="0" w:space="0" w:color="auto"/>
        <w:right w:val="none" w:sz="0" w:space="0" w:color="auto"/>
      </w:divBdr>
      <w:divsChild>
        <w:div w:id="1847481466">
          <w:marLeft w:val="0"/>
          <w:marRight w:val="0"/>
          <w:marTop w:val="0"/>
          <w:marBottom w:val="0"/>
          <w:divBdr>
            <w:top w:val="none" w:sz="0" w:space="0" w:color="auto"/>
            <w:left w:val="none" w:sz="0" w:space="0" w:color="auto"/>
            <w:bottom w:val="none" w:sz="0" w:space="0" w:color="auto"/>
            <w:right w:val="single" w:sz="6" w:space="0" w:color="959595"/>
          </w:divBdr>
          <w:divsChild>
            <w:div w:id="1158960027">
              <w:marLeft w:val="0"/>
              <w:marRight w:val="0"/>
              <w:marTop w:val="0"/>
              <w:marBottom w:val="0"/>
              <w:divBdr>
                <w:top w:val="none" w:sz="0" w:space="0" w:color="auto"/>
                <w:left w:val="none" w:sz="0" w:space="0" w:color="auto"/>
                <w:bottom w:val="none" w:sz="0" w:space="0" w:color="auto"/>
                <w:right w:val="none" w:sz="0" w:space="0" w:color="auto"/>
              </w:divBdr>
              <w:divsChild>
                <w:div w:id="90397857">
                  <w:marLeft w:val="75"/>
                  <w:marRight w:val="0"/>
                  <w:marTop w:val="0"/>
                  <w:marBottom w:val="0"/>
                  <w:divBdr>
                    <w:top w:val="none" w:sz="0" w:space="0" w:color="auto"/>
                    <w:left w:val="none" w:sz="0" w:space="0" w:color="auto"/>
                    <w:bottom w:val="none" w:sz="0" w:space="0" w:color="auto"/>
                    <w:right w:val="none" w:sz="0" w:space="0" w:color="auto"/>
                  </w:divBdr>
                  <w:divsChild>
                    <w:div w:id="12709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193046">
      <w:bodyDiv w:val="1"/>
      <w:marLeft w:val="0"/>
      <w:marRight w:val="0"/>
      <w:marTop w:val="0"/>
      <w:marBottom w:val="0"/>
      <w:divBdr>
        <w:top w:val="none" w:sz="0" w:space="0" w:color="auto"/>
        <w:left w:val="none" w:sz="0" w:space="0" w:color="auto"/>
        <w:bottom w:val="none" w:sz="0" w:space="0" w:color="auto"/>
        <w:right w:val="none" w:sz="0" w:space="0" w:color="auto"/>
      </w:divBdr>
      <w:divsChild>
        <w:div w:id="1229654973">
          <w:marLeft w:val="0"/>
          <w:marRight w:val="0"/>
          <w:marTop w:val="0"/>
          <w:marBottom w:val="0"/>
          <w:divBdr>
            <w:top w:val="none" w:sz="0" w:space="0" w:color="auto"/>
            <w:left w:val="none" w:sz="0" w:space="0" w:color="auto"/>
            <w:bottom w:val="none" w:sz="0" w:space="0" w:color="auto"/>
            <w:right w:val="none" w:sz="0" w:space="0" w:color="auto"/>
          </w:divBdr>
          <w:divsChild>
            <w:div w:id="1165365104">
              <w:marLeft w:val="0"/>
              <w:marRight w:val="0"/>
              <w:marTop w:val="0"/>
              <w:marBottom w:val="0"/>
              <w:divBdr>
                <w:top w:val="none" w:sz="0" w:space="0" w:color="auto"/>
                <w:left w:val="none" w:sz="0" w:space="0" w:color="auto"/>
                <w:bottom w:val="none" w:sz="0" w:space="0" w:color="auto"/>
                <w:right w:val="none" w:sz="0" w:space="0" w:color="auto"/>
              </w:divBdr>
              <w:divsChild>
                <w:div w:id="676886875">
                  <w:marLeft w:val="0"/>
                  <w:marRight w:val="0"/>
                  <w:marTop w:val="0"/>
                  <w:marBottom w:val="0"/>
                  <w:divBdr>
                    <w:top w:val="none" w:sz="0" w:space="0" w:color="auto"/>
                    <w:left w:val="none" w:sz="0" w:space="0" w:color="auto"/>
                    <w:bottom w:val="none" w:sz="0" w:space="0" w:color="auto"/>
                    <w:right w:val="none" w:sz="0" w:space="0" w:color="auto"/>
                  </w:divBdr>
                  <w:divsChild>
                    <w:div w:id="1033843136">
                      <w:marLeft w:val="0"/>
                      <w:marRight w:val="0"/>
                      <w:marTop w:val="0"/>
                      <w:marBottom w:val="0"/>
                      <w:divBdr>
                        <w:top w:val="none" w:sz="0" w:space="0" w:color="auto"/>
                        <w:left w:val="none" w:sz="0" w:space="0" w:color="auto"/>
                        <w:bottom w:val="none" w:sz="0" w:space="0" w:color="auto"/>
                        <w:right w:val="none" w:sz="0" w:space="0" w:color="auto"/>
                      </w:divBdr>
                      <w:divsChild>
                        <w:div w:id="22966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579590">
      <w:bodyDiv w:val="1"/>
      <w:marLeft w:val="0"/>
      <w:marRight w:val="0"/>
      <w:marTop w:val="0"/>
      <w:marBottom w:val="0"/>
      <w:divBdr>
        <w:top w:val="none" w:sz="0" w:space="0" w:color="auto"/>
        <w:left w:val="none" w:sz="0" w:space="0" w:color="auto"/>
        <w:bottom w:val="none" w:sz="0" w:space="0" w:color="auto"/>
        <w:right w:val="none" w:sz="0" w:space="0" w:color="auto"/>
      </w:divBdr>
      <w:divsChild>
        <w:div w:id="1102723723">
          <w:marLeft w:val="0"/>
          <w:marRight w:val="0"/>
          <w:marTop w:val="0"/>
          <w:marBottom w:val="450"/>
          <w:divBdr>
            <w:top w:val="none" w:sz="0" w:space="0" w:color="auto"/>
            <w:left w:val="none" w:sz="0" w:space="0" w:color="auto"/>
            <w:bottom w:val="none" w:sz="0" w:space="0" w:color="auto"/>
            <w:right w:val="none" w:sz="0" w:space="0" w:color="auto"/>
          </w:divBdr>
          <w:divsChild>
            <w:div w:id="1704943794">
              <w:marLeft w:val="0"/>
              <w:marRight w:val="0"/>
              <w:marTop w:val="0"/>
              <w:marBottom w:val="0"/>
              <w:divBdr>
                <w:top w:val="none" w:sz="0" w:space="0" w:color="auto"/>
                <w:left w:val="none" w:sz="0" w:space="0" w:color="auto"/>
                <w:bottom w:val="none" w:sz="0" w:space="0" w:color="auto"/>
                <w:right w:val="none" w:sz="0" w:space="0" w:color="auto"/>
              </w:divBdr>
              <w:divsChild>
                <w:div w:id="1394352139">
                  <w:marLeft w:val="0"/>
                  <w:marRight w:val="0"/>
                  <w:marTop w:val="0"/>
                  <w:marBottom w:val="0"/>
                  <w:divBdr>
                    <w:top w:val="none" w:sz="0" w:space="0" w:color="auto"/>
                    <w:left w:val="none" w:sz="0" w:space="0" w:color="auto"/>
                    <w:bottom w:val="none" w:sz="0" w:space="0" w:color="auto"/>
                    <w:right w:val="none" w:sz="0" w:space="0" w:color="auto"/>
                  </w:divBdr>
                  <w:divsChild>
                    <w:div w:id="122309649">
                      <w:marLeft w:val="0"/>
                      <w:marRight w:val="0"/>
                      <w:marTop w:val="0"/>
                      <w:marBottom w:val="225"/>
                      <w:divBdr>
                        <w:top w:val="none" w:sz="0" w:space="0" w:color="2D2D2D"/>
                        <w:left w:val="none" w:sz="0" w:space="0" w:color="2D2D2D"/>
                        <w:bottom w:val="none" w:sz="0" w:space="0" w:color="2D2D2D"/>
                        <w:right w:val="none" w:sz="0" w:space="0" w:color="2D2D2D"/>
                      </w:divBdr>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investopedia.com/articles/bonds/07/price_yield.asp" TargetMode="External"/><Relationship Id="rId8" Type="http://schemas.openxmlformats.org/officeDocument/2006/relationships/hyperlink" Target="http://www.investopedia.com/terms/p/parvalue.asp"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615</Words>
  <Characters>3510</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palmerm</dc:creator>
  <cp:lastModifiedBy>Brian Handrigan</cp:lastModifiedBy>
  <cp:revision>2</cp:revision>
  <cp:lastPrinted>2011-02-09T16:26:00Z</cp:lastPrinted>
  <dcterms:created xsi:type="dcterms:W3CDTF">2016-05-27T17:32:00Z</dcterms:created>
  <dcterms:modified xsi:type="dcterms:W3CDTF">2016-05-27T17:32:00Z</dcterms:modified>
</cp:coreProperties>
</file>